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02" w:rsidRPr="00E41F02" w:rsidRDefault="00597F02">
      <w:bookmarkStart w:id="0" w:name="_GoBack"/>
      <w:bookmarkEnd w:id="0"/>
    </w:p>
    <w:p w:rsidR="002B3876" w:rsidRPr="00E41F02" w:rsidRDefault="002B3876"/>
    <w:p w:rsidR="002B3876" w:rsidRPr="00E41F02" w:rsidRDefault="002B387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6087"/>
      </w:tblGrid>
      <w:tr w:rsidR="002B3876" w:rsidRPr="00E41F02" w:rsidTr="001B18F4">
        <w:trPr>
          <w:trHeight w:val="524"/>
        </w:trPr>
        <w:tc>
          <w:tcPr>
            <w:tcW w:w="1822" w:type="pct"/>
            <w:vAlign w:val="center"/>
          </w:tcPr>
          <w:p w:rsidR="002B3876" w:rsidRPr="00E41F02" w:rsidRDefault="002B3876" w:rsidP="00597F02">
            <w:pPr>
              <w:rPr>
                <w:b/>
              </w:rPr>
            </w:pPr>
            <w:r w:rsidRPr="00E41F02">
              <w:rPr>
                <w:b/>
              </w:rPr>
              <w:t>Project Title</w:t>
            </w:r>
          </w:p>
          <w:p w:rsidR="002B3876" w:rsidRPr="00E41F02" w:rsidRDefault="002B3876" w:rsidP="00597F02">
            <w:pPr>
              <w:rPr>
                <w:b/>
              </w:rPr>
            </w:pPr>
          </w:p>
        </w:tc>
        <w:tc>
          <w:tcPr>
            <w:tcW w:w="3178" w:type="pct"/>
            <w:shd w:val="clear" w:color="auto" w:fill="FFFFFF"/>
          </w:tcPr>
          <w:p w:rsidR="002B3876" w:rsidRPr="00E41F02" w:rsidRDefault="00BC5AF0" w:rsidP="001B18F4">
            <w:pPr>
              <w:rPr>
                <w:color w:val="000000"/>
              </w:rPr>
            </w:pPr>
            <w:r w:rsidRPr="00E41F02">
              <w:rPr>
                <w:color w:val="000000"/>
              </w:rPr>
              <w:t xml:space="preserve">Pursuing Local Government Reform </w:t>
            </w:r>
          </w:p>
        </w:tc>
      </w:tr>
      <w:tr w:rsidR="002B3876" w:rsidRPr="00E41F02" w:rsidTr="001121EC">
        <w:trPr>
          <w:trHeight w:val="500"/>
        </w:trPr>
        <w:tc>
          <w:tcPr>
            <w:tcW w:w="1822" w:type="pct"/>
            <w:vAlign w:val="center"/>
          </w:tcPr>
          <w:p w:rsidR="002B3876" w:rsidRPr="00E41F02" w:rsidRDefault="002B3876" w:rsidP="00597F02">
            <w:pPr>
              <w:rPr>
                <w:b/>
              </w:rPr>
            </w:pPr>
            <w:r w:rsidRPr="00E41F02">
              <w:rPr>
                <w:b/>
              </w:rPr>
              <w:t>Objective</w:t>
            </w:r>
          </w:p>
          <w:p w:rsidR="002B3876" w:rsidRPr="00E41F02" w:rsidRDefault="002B3876" w:rsidP="00597F02">
            <w:pPr>
              <w:ind w:right="162"/>
              <w:rPr>
                <w:i/>
              </w:rPr>
            </w:pPr>
          </w:p>
        </w:tc>
        <w:tc>
          <w:tcPr>
            <w:tcW w:w="3178" w:type="pct"/>
            <w:vAlign w:val="center"/>
          </w:tcPr>
          <w:p w:rsidR="001121EC" w:rsidRPr="00E41F02" w:rsidRDefault="002B3876" w:rsidP="0095599C">
            <w:pPr>
              <w:jc w:val="both"/>
            </w:pPr>
            <w:r w:rsidRPr="00E41F02">
              <w:t xml:space="preserve">To </w:t>
            </w:r>
            <w:r w:rsidR="0095599C" w:rsidRPr="00E41F02">
              <w:t xml:space="preserve">pilot Local Government reform in </w:t>
            </w:r>
            <w:r w:rsidR="00D23BAE">
              <w:t>two (2)</w:t>
            </w:r>
            <w:r w:rsidR="0095599C" w:rsidRPr="00E41F02">
              <w:t xml:space="preserve"> </w:t>
            </w:r>
            <w:r w:rsidR="00406772">
              <w:t>Municipaliti</w:t>
            </w:r>
            <w:r w:rsidR="00406772" w:rsidRPr="00E41F02">
              <w:t>es</w:t>
            </w:r>
            <w:r w:rsidR="0095599C" w:rsidRPr="00E41F02">
              <w:t xml:space="preserve"> of Trinidad and Tobago. </w:t>
            </w:r>
          </w:p>
          <w:p w:rsidR="0095599C" w:rsidRPr="00E41F02" w:rsidRDefault="0095599C" w:rsidP="0095599C">
            <w:pPr>
              <w:jc w:val="both"/>
            </w:pPr>
          </w:p>
        </w:tc>
      </w:tr>
      <w:tr w:rsidR="002B3876" w:rsidRPr="00E41F02" w:rsidTr="001121EC">
        <w:trPr>
          <w:trHeight w:val="500"/>
        </w:trPr>
        <w:tc>
          <w:tcPr>
            <w:tcW w:w="1822" w:type="pct"/>
            <w:vAlign w:val="center"/>
          </w:tcPr>
          <w:p w:rsidR="002B3876" w:rsidRPr="00E41F02" w:rsidRDefault="002B3876" w:rsidP="00597F02">
            <w:pPr>
              <w:rPr>
                <w:b/>
              </w:rPr>
            </w:pPr>
            <w:r w:rsidRPr="00E41F02">
              <w:rPr>
                <w:b/>
              </w:rPr>
              <w:t>Background</w:t>
            </w:r>
          </w:p>
          <w:p w:rsidR="002B3876" w:rsidRPr="00E41F02" w:rsidRDefault="002B3876" w:rsidP="00597F02">
            <w:pPr>
              <w:rPr>
                <w:i/>
              </w:rPr>
            </w:pPr>
          </w:p>
          <w:p w:rsidR="002B3876" w:rsidRPr="00E41F02" w:rsidRDefault="002B3876" w:rsidP="00597F02">
            <w:pPr>
              <w:rPr>
                <w:i/>
              </w:rPr>
            </w:pPr>
          </w:p>
          <w:p w:rsidR="002B3876" w:rsidRPr="00E41F02" w:rsidRDefault="002B3876" w:rsidP="00597F02">
            <w:pPr>
              <w:rPr>
                <w:i/>
              </w:rPr>
            </w:pPr>
          </w:p>
          <w:p w:rsidR="002B3876" w:rsidRPr="00E41F02" w:rsidRDefault="002B3876" w:rsidP="00597F02">
            <w:pPr>
              <w:rPr>
                <w:b/>
              </w:rPr>
            </w:pPr>
          </w:p>
        </w:tc>
        <w:tc>
          <w:tcPr>
            <w:tcW w:w="3178" w:type="pct"/>
            <w:vAlign w:val="center"/>
          </w:tcPr>
          <w:p w:rsidR="00413B5A" w:rsidRPr="00E41F02" w:rsidRDefault="00C35354" w:rsidP="00413B5A">
            <w:pPr>
              <w:jc w:val="both"/>
            </w:pPr>
            <w:r w:rsidRPr="00E41F02">
              <w:t xml:space="preserve">Since independence, development in Trinidad &amp; Tobago </w:t>
            </w:r>
            <w:r w:rsidR="00406772">
              <w:t xml:space="preserve">has </w:t>
            </w:r>
            <w:r w:rsidR="00CD508B" w:rsidRPr="00E41F02">
              <w:t xml:space="preserve">been </w:t>
            </w:r>
            <w:r w:rsidRPr="00E41F02">
              <w:t>centrally planned and implemented</w:t>
            </w:r>
            <w:r w:rsidR="00CD508B" w:rsidRPr="00E41F02">
              <w:t xml:space="preserve">, </w:t>
            </w:r>
            <w:r w:rsidR="00792F47" w:rsidRPr="00E41F02">
              <w:t xml:space="preserve">carrying with it the risk of </w:t>
            </w:r>
            <w:r w:rsidR="00CD508B" w:rsidRPr="00E41F02">
              <w:t xml:space="preserve">the </w:t>
            </w:r>
            <w:r w:rsidR="00792F47" w:rsidRPr="00E41F02">
              <w:t>ineff</w:t>
            </w:r>
            <w:r w:rsidR="002A58E2" w:rsidRPr="00E41F02">
              <w:t xml:space="preserve">icient </w:t>
            </w:r>
            <w:r w:rsidR="00CD508B" w:rsidRPr="00E41F02">
              <w:t>allocation</w:t>
            </w:r>
            <w:r w:rsidRPr="00E41F02">
              <w:t xml:space="preserve"> of resources</w:t>
            </w:r>
            <w:r w:rsidR="00CD508B" w:rsidRPr="00E41F02">
              <w:t xml:space="preserve"> and </w:t>
            </w:r>
            <w:r w:rsidRPr="00E41F02">
              <w:t xml:space="preserve">funds across the various </w:t>
            </w:r>
            <w:r w:rsidR="00406772">
              <w:t>municipalities</w:t>
            </w:r>
            <w:r w:rsidR="0056173A" w:rsidRPr="00E41F02">
              <w:t>. Additionally, the individual characteristics</w:t>
            </w:r>
            <w:r w:rsidRPr="00E41F02">
              <w:t xml:space="preserve"> of </w:t>
            </w:r>
            <w:r w:rsidR="00CD508B" w:rsidRPr="00E41F02">
              <w:t xml:space="preserve">communities </w:t>
            </w:r>
            <w:r w:rsidR="002A58E2" w:rsidRPr="00E41F02">
              <w:t>could not be fully</w:t>
            </w:r>
            <w:r w:rsidRPr="00E41F02">
              <w:t xml:space="preserve"> captured in national </w:t>
            </w:r>
            <w:r w:rsidR="002A58E2" w:rsidRPr="00E41F02">
              <w:t>planning, leading to ineffective</w:t>
            </w:r>
            <w:r w:rsidRPr="00E41F02">
              <w:t xml:space="preserve"> systems and</w:t>
            </w:r>
            <w:r w:rsidR="00CD508B" w:rsidRPr="00E41F02">
              <w:t xml:space="preserve"> unsustainable </w:t>
            </w:r>
            <w:r w:rsidR="0056173A" w:rsidRPr="00E41F02">
              <w:t>progress</w:t>
            </w:r>
            <w:r w:rsidR="00CD508B" w:rsidRPr="00E41F02">
              <w:t>. Consequently, infrastructural developments and economic growth did not occur evenly.</w:t>
            </w:r>
          </w:p>
          <w:p w:rsidR="00C35354" w:rsidRPr="00E41F02" w:rsidRDefault="00C35354" w:rsidP="00413B5A">
            <w:pPr>
              <w:jc w:val="both"/>
            </w:pPr>
          </w:p>
          <w:p w:rsidR="000127CA" w:rsidRPr="00E41F02" w:rsidRDefault="004961C1" w:rsidP="00B64C10">
            <w:pPr>
              <w:jc w:val="both"/>
            </w:pPr>
            <w:r w:rsidRPr="00E41F02">
              <w:t>Globally local g</w:t>
            </w:r>
            <w:r w:rsidR="00413B5A" w:rsidRPr="00E41F02">
              <w:t xml:space="preserve">overnment reform </w:t>
            </w:r>
            <w:r w:rsidRPr="00E41F02">
              <w:t xml:space="preserve">has been shown to work well in places such as </w:t>
            </w:r>
            <w:r w:rsidR="00413B5A" w:rsidRPr="00E41F02">
              <w:t xml:space="preserve">Ireland </w:t>
            </w:r>
            <w:r w:rsidRPr="00E41F02">
              <w:t xml:space="preserve">which undertook a decentralisation initiative with the aim </w:t>
            </w:r>
            <w:r w:rsidR="00081176" w:rsidRPr="00E41F02">
              <w:t>of promoting</w:t>
            </w:r>
            <w:r w:rsidR="00406772">
              <w:t xml:space="preserve"> </w:t>
            </w:r>
            <w:r w:rsidR="00413B5A" w:rsidRPr="00E41F02">
              <w:t>sustain</w:t>
            </w:r>
            <w:r w:rsidR="00A75EC9" w:rsidRPr="00E41F02">
              <w:t>ability</w:t>
            </w:r>
            <w:r w:rsidR="00C35354" w:rsidRPr="00E41F02">
              <w:t xml:space="preserve"> and prosper</w:t>
            </w:r>
            <w:r w:rsidR="00A75EC9" w:rsidRPr="00E41F02">
              <w:t>ity</w:t>
            </w:r>
            <w:r w:rsidR="00C35354" w:rsidRPr="00E41F02">
              <w:t xml:space="preserve"> at a community level. The benefits from this initiative included an improved quality of service provision and, long-term savings. Governance at the community level allowed for more flexible and focused decisions to be made based on the individual characteristics of each area, and not the ce</w:t>
            </w:r>
            <w:r w:rsidR="008B4905" w:rsidRPr="00E41F02">
              <w:t>ntral “one size fits all” mode. (Department of the Environment, 2013)</w:t>
            </w:r>
          </w:p>
          <w:p w:rsidR="00B64C10" w:rsidRPr="00E41F02" w:rsidRDefault="00B64C10" w:rsidP="00B64C10">
            <w:pPr>
              <w:jc w:val="both"/>
            </w:pPr>
          </w:p>
          <w:p w:rsidR="001121EC" w:rsidRPr="00E41F02" w:rsidRDefault="001121EC" w:rsidP="00B64C10">
            <w:pPr>
              <w:jc w:val="both"/>
            </w:pPr>
            <w:r w:rsidRPr="00E41F02">
              <w:t xml:space="preserve">As the Government of Trinidad and Tobago moves forward in improving the efficiency and management of the </w:t>
            </w:r>
            <w:r w:rsidR="00406772">
              <w:t>municipalities</w:t>
            </w:r>
            <w:r w:rsidRPr="00E41F02">
              <w:t xml:space="preserve"> across both islands, Local Government reform has consequently been identified as the medium for drivi</w:t>
            </w:r>
            <w:r w:rsidR="009301BE" w:rsidRPr="00E41F02">
              <w:t>ng this level of sustainable development.</w:t>
            </w:r>
          </w:p>
          <w:p w:rsidR="009301BE" w:rsidRPr="00E41F02" w:rsidRDefault="009301BE" w:rsidP="00B64C10">
            <w:pPr>
              <w:jc w:val="both"/>
            </w:pPr>
          </w:p>
        </w:tc>
      </w:tr>
      <w:tr w:rsidR="002B3876" w:rsidRPr="00E41F02" w:rsidTr="001121EC">
        <w:trPr>
          <w:trHeight w:val="99"/>
        </w:trPr>
        <w:tc>
          <w:tcPr>
            <w:tcW w:w="1822" w:type="pct"/>
            <w:vMerge w:val="restart"/>
            <w:vAlign w:val="center"/>
          </w:tcPr>
          <w:p w:rsidR="002B3876" w:rsidRPr="00E41F02" w:rsidRDefault="002B3876" w:rsidP="001121EC">
            <w:pPr>
              <w:rPr>
                <w:b/>
              </w:rPr>
            </w:pPr>
            <w:r w:rsidRPr="00E41F02">
              <w:rPr>
                <w:b/>
              </w:rPr>
              <w:t>Project Components</w:t>
            </w:r>
          </w:p>
        </w:tc>
        <w:tc>
          <w:tcPr>
            <w:tcW w:w="3178" w:type="pct"/>
            <w:vAlign w:val="center"/>
          </w:tcPr>
          <w:p w:rsidR="00563FA5" w:rsidRPr="00E41F02" w:rsidRDefault="00563FA5" w:rsidP="000702F0">
            <w:pPr>
              <w:jc w:val="both"/>
              <w:rPr>
                <w:b/>
              </w:rPr>
            </w:pPr>
            <w:r w:rsidRPr="00E41F02">
              <w:rPr>
                <w:b/>
              </w:rPr>
              <w:t xml:space="preserve">Component 1: </w:t>
            </w:r>
            <w:r w:rsidR="00081176" w:rsidRPr="00E41F02">
              <w:rPr>
                <w:b/>
              </w:rPr>
              <w:t>Review of existing</w:t>
            </w:r>
            <w:r w:rsidR="002A1938" w:rsidRPr="00E41F02">
              <w:rPr>
                <w:b/>
              </w:rPr>
              <w:t xml:space="preserve"> policies and legislation on Local Government and hosting a </w:t>
            </w:r>
            <w:r w:rsidRPr="00E41F02">
              <w:rPr>
                <w:b/>
              </w:rPr>
              <w:t>Public Consultation</w:t>
            </w:r>
          </w:p>
          <w:p w:rsidR="00563FA5" w:rsidRPr="00E41F02" w:rsidRDefault="00563FA5" w:rsidP="000702F0">
            <w:pPr>
              <w:jc w:val="both"/>
              <w:rPr>
                <w:b/>
              </w:rPr>
            </w:pPr>
          </w:p>
          <w:p w:rsidR="002A1938" w:rsidRPr="00E41F02" w:rsidRDefault="002A1938" w:rsidP="000702F0">
            <w:pPr>
              <w:jc w:val="both"/>
            </w:pPr>
            <w:r w:rsidRPr="00E41F02">
              <w:t>In giving context to Local Government Reform, it is vital to understanding the current legislative framework that exists with regards to Local Government. It is therefore important that a gap analysis be conducted in tandem with the desired outcomes of the government, to identify the areas of focus requiring reformation. The results of this analysis will be used to guide the subsequent consultation process.</w:t>
            </w:r>
          </w:p>
          <w:p w:rsidR="002A1938" w:rsidRPr="00E41F02" w:rsidRDefault="002A1938" w:rsidP="000702F0">
            <w:pPr>
              <w:jc w:val="both"/>
            </w:pPr>
          </w:p>
          <w:p w:rsidR="00563FA5" w:rsidRPr="00E41F02" w:rsidRDefault="00563FA5" w:rsidP="000702F0">
            <w:pPr>
              <w:jc w:val="both"/>
            </w:pPr>
            <w:r w:rsidRPr="00E41F02">
              <w:t xml:space="preserve">Public consultation as an element of stakeholder analysis involves engaging those most impacted by Local Government Reform. As </w:t>
            </w:r>
            <w:r w:rsidRPr="00E41F02">
              <w:lastRenderedPageBreak/>
              <w:t xml:space="preserve">part of the planning process, consultation with </w:t>
            </w:r>
            <w:r w:rsidR="00D23BAE">
              <w:t>two (2)</w:t>
            </w:r>
            <w:r w:rsidRPr="00E41F02">
              <w:t xml:space="preserve"> pilot </w:t>
            </w:r>
            <w:r w:rsidR="00406772">
              <w:t>municipalities</w:t>
            </w:r>
            <w:r w:rsidRPr="00E41F02">
              <w:t xml:space="preserve"> will capture the concerns and expectations of the citizens, while clarifying points of ambiguity. This will ensure a smoother project implementation phase in alignment with </w:t>
            </w:r>
            <w:r w:rsidR="0019676F" w:rsidRPr="00E41F02">
              <w:t>publicly</w:t>
            </w:r>
            <w:r w:rsidRPr="00E41F02">
              <w:t xml:space="preserve"> accepted objectives.</w:t>
            </w:r>
          </w:p>
          <w:p w:rsidR="000127CA" w:rsidRPr="00E41F02" w:rsidRDefault="00563FA5" w:rsidP="00563FA5">
            <w:pPr>
              <w:jc w:val="both"/>
            </w:pPr>
            <w:r w:rsidRPr="00E41F02">
              <w:t xml:space="preserve">Public consultation will involve </w:t>
            </w:r>
            <w:r w:rsidR="007665C9" w:rsidRPr="00E41F02">
              <w:t>two</w:t>
            </w:r>
            <w:r w:rsidR="00406772">
              <w:t xml:space="preserve"> </w:t>
            </w:r>
            <w:r w:rsidR="007665C9" w:rsidRPr="00E41F02">
              <w:t>(2</w:t>
            </w:r>
            <w:r w:rsidR="009301BE" w:rsidRPr="00E41F02">
              <w:t xml:space="preserve">) </w:t>
            </w:r>
            <w:r w:rsidRPr="00E41F02">
              <w:t xml:space="preserve">workshop </w:t>
            </w:r>
            <w:r w:rsidR="00406772" w:rsidRPr="00E41F02">
              <w:t>sessions</w:t>
            </w:r>
            <w:r w:rsidR="009301BE" w:rsidRPr="00E41F02">
              <w:t xml:space="preserve"> in each </w:t>
            </w:r>
            <w:r w:rsidR="00406772">
              <w:t>municipality</w:t>
            </w:r>
            <w:r w:rsidR="009301BE" w:rsidRPr="00E41F02">
              <w:t xml:space="preserve"> participating in the pilot project. The identified stakeholders will include; the residents, businesses, NGOs and other interested parties </w:t>
            </w:r>
            <w:r w:rsidRPr="00E41F02">
              <w:t xml:space="preserve">of </w:t>
            </w:r>
            <w:r w:rsidR="009301BE" w:rsidRPr="00E41F02">
              <w:t xml:space="preserve">that </w:t>
            </w:r>
            <w:r w:rsidR="00406772">
              <w:t>municipality</w:t>
            </w:r>
            <w:r w:rsidRPr="00E41F02">
              <w:t xml:space="preserve">. UNDP under </w:t>
            </w:r>
            <w:r w:rsidR="0019676F" w:rsidRPr="00E41F02">
              <w:t>the</w:t>
            </w:r>
            <w:r w:rsidRPr="00E41F02">
              <w:t xml:space="preserve"> Sustainable Development Goal of Sustainable Communities, can support this consultation process as the initial step towards Local Government reform.</w:t>
            </w:r>
          </w:p>
          <w:p w:rsidR="000702F0" w:rsidRPr="00E41F02" w:rsidRDefault="000702F0" w:rsidP="00563FA5">
            <w:pPr>
              <w:jc w:val="both"/>
            </w:pPr>
          </w:p>
        </w:tc>
      </w:tr>
      <w:tr w:rsidR="002B3876" w:rsidRPr="00E41F02" w:rsidTr="001121EC">
        <w:trPr>
          <w:trHeight w:val="99"/>
        </w:trPr>
        <w:tc>
          <w:tcPr>
            <w:tcW w:w="1822" w:type="pct"/>
            <w:vMerge/>
            <w:vAlign w:val="center"/>
          </w:tcPr>
          <w:p w:rsidR="002B3876" w:rsidRPr="00E41F02" w:rsidRDefault="002B3876" w:rsidP="00597F02">
            <w:pPr>
              <w:rPr>
                <w:b/>
              </w:rPr>
            </w:pPr>
          </w:p>
        </w:tc>
        <w:tc>
          <w:tcPr>
            <w:tcW w:w="3178" w:type="pct"/>
            <w:vAlign w:val="center"/>
          </w:tcPr>
          <w:p w:rsidR="00563FA5" w:rsidRPr="00E41F02" w:rsidRDefault="00563FA5" w:rsidP="00563FA5">
            <w:pPr>
              <w:jc w:val="both"/>
              <w:rPr>
                <w:b/>
              </w:rPr>
            </w:pPr>
            <w:r w:rsidRPr="00E41F02">
              <w:rPr>
                <w:b/>
              </w:rPr>
              <w:t>Component 2: Pilot project in Local Government Reform</w:t>
            </w:r>
          </w:p>
          <w:p w:rsidR="00563FA5" w:rsidRPr="00E41F02" w:rsidRDefault="00563FA5" w:rsidP="00563FA5">
            <w:pPr>
              <w:jc w:val="both"/>
            </w:pPr>
          </w:p>
          <w:p w:rsidR="00563FA5" w:rsidRPr="00E41F02" w:rsidRDefault="00563FA5" w:rsidP="00563FA5">
            <w:pPr>
              <w:jc w:val="both"/>
            </w:pPr>
            <w:r w:rsidRPr="00E41F02">
              <w:t>To de</w:t>
            </w:r>
            <w:r w:rsidR="0019676F" w:rsidRPr="00E41F02">
              <w:t>monstrate how Local Government r</w:t>
            </w:r>
            <w:r w:rsidR="00D66E9A" w:rsidRPr="00E41F02">
              <w:t>eform</w:t>
            </w:r>
            <w:r w:rsidRPr="00E41F02">
              <w:t xml:space="preserve"> can occur across Trinidad &amp; Tobago, the UNDP can facilitate a pilot project in </w:t>
            </w:r>
            <w:r w:rsidR="00D23BAE">
              <w:t>two (2)</w:t>
            </w:r>
            <w:r w:rsidRPr="00E41F02">
              <w:t xml:space="preserve"> </w:t>
            </w:r>
            <w:r w:rsidR="00406772">
              <w:t xml:space="preserve">municipalities; </w:t>
            </w:r>
            <w:r w:rsidR="00D23BAE">
              <w:t xml:space="preserve">an </w:t>
            </w:r>
            <w:r w:rsidRPr="00E41F02">
              <w:t xml:space="preserve">urban </w:t>
            </w:r>
            <w:r w:rsidR="00406772">
              <w:t>m</w:t>
            </w:r>
            <w:r w:rsidR="00D23BAE">
              <w:t>unicipality</w:t>
            </w:r>
            <w:r w:rsidR="00406772">
              <w:t xml:space="preserve"> and, </w:t>
            </w:r>
            <w:r w:rsidR="00D23BAE">
              <w:t xml:space="preserve">a </w:t>
            </w:r>
            <w:r w:rsidRPr="00E41F02">
              <w:t xml:space="preserve">rural </w:t>
            </w:r>
            <w:r w:rsidR="00406772">
              <w:t>m</w:t>
            </w:r>
            <w:r w:rsidR="00D23BAE">
              <w:t>unicipality</w:t>
            </w:r>
            <w:r w:rsidRPr="00E41F02">
              <w:t>. This can be implemented utilising a Unit</w:t>
            </w:r>
            <w:r w:rsidR="00D23BAE">
              <w:t xml:space="preserve">ed Nations’ Volunteer (UNV) per </w:t>
            </w:r>
            <w:r w:rsidR="00406772">
              <w:t>m</w:t>
            </w:r>
            <w:r w:rsidR="00D23BAE">
              <w:t>unicipality</w:t>
            </w:r>
            <w:r w:rsidRPr="00E41F02">
              <w:t xml:space="preserve"> to manage the project. Working in tandem, the UNVs </w:t>
            </w:r>
            <w:r w:rsidR="0019676F" w:rsidRPr="00E41F02">
              <w:t xml:space="preserve">will </w:t>
            </w:r>
            <w:r w:rsidRPr="00E41F02">
              <w:t xml:space="preserve">participate in knowledge sharing </w:t>
            </w:r>
            <w:r w:rsidR="005E5092" w:rsidRPr="00E41F02">
              <w:t>by exchanging the lessons learnt</w:t>
            </w:r>
            <w:r w:rsidRPr="00E41F02">
              <w:t xml:space="preserve"> from their respective </w:t>
            </w:r>
            <w:r w:rsidR="00406772">
              <w:t>municipality</w:t>
            </w:r>
            <w:r w:rsidRPr="00E41F02">
              <w:t xml:space="preserve">, </w:t>
            </w:r>
            <w:r w:rsidR="005E5092" w:rsidRPr="00E41F02">
              <w:t>towards</w:t>
            </w:r>
            <w:r w:rsidRPr="00E41F02">
              <w:t xml:space="preserve"> building an improved model </w:t>
            </w:r>
            <w:r w:rsidR="005E5092" w:rsidRPr="00E41F02">
              <w:t>for</w:t>
            </w:r>
            <w:r w:rsidRPr="00E41F02">
              <w:t xml:space="preserve"> implement</w:t>
            </w:r>
            <w:r w:rsidR="005E5092" w:rsidRPr="00E41F02">
              <w:t>ation</w:t>
            </w:r>
            <w:r w:rsidRPr="00E41F02">
              <w:t xml:space="preserve"> in other </w:t>
            </w:r>
            <w:r w:rsidR="00406772">
              <w:t>municipalities</w:t>
            </w:r>
            <w:r w:rsidRPr="00E41F02">
              <w:t>.</w:t>
            </w:r>
            <w:r w:rsidR="009301BE" w:rsidRPr="00E41F02">
              <w:t xml:space="preserve"> This type of knowledge sharing will require the development of knowledge products which can be use</w:t>
            </w:r>
            <w:r w:rsidR="00D66E9A" w:rsidRPr="00E41F02">
              <w:t xml:space="preserve">d to guide other </w:t>
            </w:r>
            <w:r w:rsidR="00406772">
              <w:t>municipalities</w:t>
            </w:r>
            <w:r w:rsidR="00D66E9A" w:rsidRPr="00E41F02">
              <w:t xml:space="preserve"> on </w:t>
            </w:r>
            <w:r w:rsidR="009301BE" w:rsidRPr="00E41F02">
              <w:t>the advantages and disadvantages of their approach to local government, the best practices which should be engaged in reaching out to the citizenry and other information pertinent to the reform process.</w:t>
            </w:r>
          </w:p>
          <w:p w:rsidR="00563FA5" w:rsidRPr="00E41F02" w:rsidRDefault="00563FA5" w:rsidP="00563FA5">
            <w:pPr>
              <w:jc w:val="both"/>
            </w:pPr>
          </w:p>
          <w:p w:rsidR="00563FA5" w:rsidRPr="00E41F02" w:rsidRDefault="00563FA5" w:rsidP="00563FA5">
            <w:pPr>
              <w:jc w:val="both"/>
            </w:pPr>
            <w:r w:rsidRPr="00E41F02">
              <w:t xml:space="preserve">To develop such a project, the Tobago House Of Assembly </w:t>
            </w:r>
            <w:r w:rsidR="00BF39ED" w:rsidRPr="00E41F02">
              <w:t xml:space="preserve">(THA) </w:t>
            </w:r>
            <w:r w:rsidRPr="00E41F02">
              <w:t>model on governance can be adapted as it demonstrates how decentralised Governance operates and exemplifies some of the expected challenges.</w:t>
            </w:r>
          </w:p>
          <w:p w:rsidR="000127CA" w:rsidRPr="00E41F02" w:rsidRDefault="000127CA" w:rsidP="00563FA5">
            <w:pPr>
              <w:jc w:val="both"/>
            </w:pPr>
          </w:p>
          <w:p w:rsidR="005E5092" w:rsidRPr="00E41F02" w:rsidRDefault="008F4E33" w:rsidP="00563FA5">
            <w:pPr>
              <w:jc w:val="both"/>
            </w:pPr>
            <w:r w:rsidRPr="00E41F02">
              <w:t>The Irish</w:t>
            </w:r>
            <w:r w:rsidR="005E5092" w:rsidRPr="00E41F02">
              <w:t xml:space="preserve"> local government reform was done through a dissemination of central power to the Councils (analogous to the </w:t>
            </w:r>
            <w:r w:rsidR="00406772">
              <w:t>municipalities</w:t>
            </w:r>
            <w:r w:rsidR="005E5092" w:rsidRPr="00E41F02">
              <w:t xml:space="preserve"> in Trinidad &amp; Tobago)</w:t>
            </w:r>
            <w:r w:rsidRPr="00E41F02">
              <w:t xml:space="preserve"> with regards to planning, roadworks</w:t>
            </w:r>
            <w:r w:rsidR="005E5092" w:rsidRPr="00E41F02">
              <w:t xml:space="preserve">, local economic development, urban regeneration and </w:t>
            </w:r>
            <w:r w:rsidRPr="00E41F02">
              <w:t>local sports. These thematic areas can be considered as part of the consultation process and can be extended to include disaster risk management and local tax management.</w:t>
            </w:r>
            <w:r w:rsidR="008B4905" w:rsidRPr="00E41F02">
              <w:t xml:space="preserve"> (Department of the Environment, 2015)</w:t>
            </w:r>
          </w:p>
          <w:p w:rsidR="00BF39ED" w:rsidRPr="00E41F02" w:rsidRDefault="00BF39ED" w:rsidP="00563FA5">
            <w:pPr>
              <w:jc w:val="both"/>
            </w:pPr>
          </w:p>
          <w:p w:rsidR="00BF39ED" w:rsidRPr="00E41F02" w:rsidRDefault="00BF39ED" w:rsidP="00563FA5">
            <w:pPr>
              <w:jc w:val="both"/>
            </w:pPr>
            <w:r w:rsidRPr="00E41F02">
              <w:lastRenderedPageBreak/>
              <w:t>In addition to the THA and Irish models, an analysis of other local government models relevant to Trinidad and Tobago will be completed to obtain a well-rounded idea of the process and as such help to guide a holistic approach in implementation.</w:t>
            </w:r>
          </w:p>
          <w:p w:rsidR="002B3876" w:rsidRPr="00E41F02" w:rsidRDefault="002B3876" w:rsidP="00853D7A">
            <w:pPr>
              <w:jc w:val="both"/>
              <w:rPr>
                <w:b/>
              </w:rPr>
            </w:pPr>
          </w:p>
        </w:tc>
      </w:tr>
      <w:tr w:rsidR="0019676F" w:rsidRPr="00E41F02" w:rsidTr="001121EC">
        <w:trPr>
          <w:trHeight w:val="99"/>
        </w:trPr>
        <w:tc>
          <w:tcPr>
            <w:tcW w:w="1822" w:type="pct"/>
            <w:vMerge/>
            <w:vAlign w:val="center"/>
          </w:tcPr>
          <w:p w:rsidR="0019676F" w:rsidRPr="00E41F02" w:rsidRDefault="0019676F" w:rsidP="00597F02">
            <w:pPr>
              <w:rPr>
                <w:b/>
              </w:rPr>
            </w:pPr>
          </w:p>
        </w:tc>
        <w:tc>
          <w:tcPr>
            <w:tcW w:w="3178" w:type="pct"/>
            <w:vAlign w:val="center"/>
          </w:tcPr>
          <w:p w:rsidR="0019676F" w:rsidRPr="00E41F02" w:rsidRDefault="0019676F" w:rsidP="0019676F">
            <w:pPr>
              <w:jc w:val="both"/>
              <w:rPr>
                <w:b/>
              </w:rPr>
            </w:pPr>
            <w:r w:rsidRPr="00E41F02">
              <w:rPr>
                <w:b/>
              </w:rPr>
              <w:t>Component 3: Citizen Accountability</w:t>
            </w:r>
            <w:r w:rsidR="008F4E33" w:rsidRPr="00E41F02">
              <w:rPr>
                <w:b/>
              </w:rPr>
              <w:t xml:space="preserve"> and ICTs</w:t>
            </w:r>
          </w:p>
          <w:p w:rsidR="0019676F" w:rsidRPr="00E41F02" w:rsidRDefault="0019676F" w:rsidP="0019676F">
            <w:pPr>
              <w:jc w:val="both"/>
              <w:rPr>
                <w:b/>
              </w:rPr>
            </w:pPr>
          </w:p>
          <w:p w:rsidR="0019676F" w:rsidRPr="00E41F02" w:rsidRDefault="0019676F" w:rsidP="0019676F">
            <w:pPr>
              <w:jc w:val="both"/>
            </w:pPr>
            <w:r w:rsidRPr="00E41F02">
              <w:t xml:space="preserve">To ensure the sustainability of a decentralised Governance model, accountability is a critical element for monitoring and evaluating the success of the system. </w:t>
            </w:r>
            <w:r w:rsidR="00BF39ED" w:rsidRPr="00E41F02">
              <w:t xml:space="preserve">This was reiterated by the Minister of Rural Development &amp;Local Government who placed </w:t>
            </w:r>
            <w:r w:rsidR="0019230D" w:rsidRPr="00E41F02">
              <w:t xml:space="preserve">an </w:t>
            </w:r>
            <w:r w:rsidR="00BF39ED" w:rsidRPr="00E41F02">
              <w:t>emphasis on the importance on the role of ICTs in democracy and accountability.</w:t>
            </w:r>
          </w:p>
          <w:p w:rsidR="0019676F" w:rsidRPr="00E41F02" w:rsidRDefault="0019676F" w:rsidP="0019676F">
            <w:pPr>
              <w:jc w:val="both"/>
            </w:pPr>
          </w:p>
          <w:p w:rsidR="0019676F" w:rsidRPr="00E41F02" w:rsidRDefault="0019676F" w:rsidP="0019676F">
            <w:pPr>
              <w:jc w:val="both"/>
            </w:pPr>
            <w:r w:rsidRPr="00E41F02">
              <w:t xml:space="preserve">Citizen accountability empowers the citizens of the </w:t>
            </w:r>
            <w:r w:rsidR="00406772">
              <w:t>municipality</w:t>
            </w:r>
            <w:r w:rsidRPr="00E41F02">
              <w:t xml:space="preserve"> to ensure that the Local Government is made answerable for their management of the </w:t>
            </w:r>
            <w:r w:rsidR="00406772">
              <w:t>municipality</w:t>
            </w:r>
            <w:r w:rsidRPr="00E41F02">
              <w:t xml:space="preserve">. Accountability must therefore be a transparent and responsible process, the results of which are made available to the public. Information Communication Technologies (ICTs) are one mechanism for improving the accountability framework by reducing significantly, the power of one or several persons to manage the system exclusively. </w:t>
            </w:r>
          </w:p>
          <w:p w:rsidR="0019676F" w:rsidRPr="00E41F02" w:rsidRDefault="0019676F" w:rsidP="0019676F">
            <w:pPr>
              <w:jc w:val="both"/>
            </w:pPr>
          </w:p>
          <w:p w:rsidR="000127CA" w:rsidRPr="00E41F02" w:rsidRDefault="0019676F" w:rsidP="000127CA">
            <w:pPr>
              <w:jc w:val="both"/>
            </w:pPr>
            <w:r w:rsidRPr="00E41F02">
              <w:t xml:space="preserve">For this component, the UNDP can procure an ICT specialist from its global network of technical experts, to develop an Action Plan for an ICT system for managing the municipal funds. The Action Plan should identify the necessary hardware and software required for implementing such a system, as well as, the policy instruments which must be put in place to regulate, monitor and manage the ICT system. Following successful </w:t>
            </w:r>
            <w:r w:rsidR="00030646" w:rsidRPr="00E41F02">
              <w:t>development</w:t>
            </w:r>
            <w:r w:rsidRPr="00E41F02">
              <w:t xml:space="preserve">, this can then be rolled out to the other </w:t>
            </w:r>
            <w:r w:rsidR="00406772">
              <w:t>municipaliti</w:t>
            </w:r>
            <w:r w:rsidR="00406772" w:rsidRPr="00E41F02">
              <w:t>es</w:t>
            </w:r>
            <w:r w:rsidRPr="00E41F02">
              <w:t xml:space="preserve"> which will contribute to building the level of trust between the Local Government and the citizenry.</w:t>
            </w:r>
          </w:p>
          <w:p w:rsidR="0019676F" w:rsidRPr="00E41F02" w:rsidRDefault="0019676F" w:rsidP="000127CA">
            <w:pPr>
              <w:jc w:val="both"/>
              <w:rPr>
                <w:b/>
              </w:rPr>
            </w:pPr>
          </w:p>
        </w:tc>
      </w:tr>
      <w:tr w:rsidR="002B3876" w:rsidRPr="00E41F02" w:rsidTr="001121EC">
        <w:trPr>
          <w:trHeight w:val="99"/>
        </w:trPr>
        <w:tc>
          <w:tcPr>
            <w:tcW w:w="1822" w:type="pct"/>
            <w:vMerge/>
            <w:vAlign w:val="center"/>
          </w:tcPr>
          <w:p w:rsidR="002B3876" w:rsidRPr="00E41F02" w:rsidRDefault="002B3876" w:rsidP="00597F02">
            <w:pPr>
              <w:rPr>
                <w:b/>
              </w:rPr>
            </w:pPr>
          </w:p>
        </w:tc>
        <w:tc>
          <w:tcPr>
            <w:tcW w:w="3178" w:type="pct"/>
            <w:vAlign w:val="center"/>
          </w:tcPr>
          <w:p w:rsidR="00853D7A" w:rsidRPr="00E41F02" w:rsidRDefault="00853D7A" w:rsidP="00853D7A">
            <w:pPr>
              <w:jc w:val="both"/>
              <w:rPr>
                <w:b/>
              </w:rPr>
            </w:pPr>
            <w:r w:rsidRPr="00E41F02">
              <w:rPr>
                <w:b/>
              </w:rPr>
              <w:t>Component 4: Disaster Risk Reduction</w:t>
            </w:r>
          </w:p>
          <w:p w:rsidR="00853D7A" w:rsidRPr="00E41F02" w:rsidRDefault="00853D7A" w:rsidP="00853D7A">
            <w:pPr>
              <w:jc w:val="both"/>
              <w:rPr>
                <w:b/>
              </w:rPr>
            </w:pPr>
          </w:p>
          <w:p w:rsidR="00853D7A" w:rsidRPr="00E41F02" w:rsidRDefault="00853D7A" w:rsidP="00853D7A">
            <w:pPr>
              <w:jc w:val="both"/>
            </w:pPr>
            <w:r w:rsidRPr="00E41F02">
              <w:t xml:space="preserve">Disaster Risk Reduction is a critical component of sustainability as the very nature of disaster management is rooted in preservation of life and economic stability. As such, </w:t>
            </w:r>
            <w:r w:rsidR="00406772">
              <w:t>municipaliti</w:t>
            </w:r>
            <w:r w:rsidR="00406772" w:rsidRPr="00E41F02">
              <w:t>es</w:t>
            </w:r>
            <w:r w:rsidRPr="00E41F02">
              <w:t xml:space="preserve"> must be equipped to manage disasters before and after they occur. By decentralising the </w:t>
            </w:r>
            <w:r w:rsidR="00E11D29" w:rsidRPr="00E41F02">
              <w:t xml:space="preserve">initialdisaster </w:t>
            </w:r>
            <w:r w:rsidRPr="00E41F02">
              <w:t xml:space="preserve">response </w:t>
            </w:r>
            <w:r w:rsidR="00E11D29" w:rsidRPr="00E41F02">
              <w:t xml:space="preserve">from the national level </w:t>
            </w:r>
            <w:r w:rsidRPr="00E41F02">
              <w:t>to a municipal level, the disaster monitoring and re</w:t>
            </w:r>
            <w:r w:rsidR="00E11D29" w:rsidRPr="00E41F02">
              <w:t xml:space="preserve">sponse strategies can be developed based on the individual risks which threaten each </w:t>
            </w:r>
            <w:r w:rsidR="00406772">
              <w:t>municipality</w:t>
            </w:r>
            <w:r w:rsidR="00E11D29" w:rsidRPr="00E41F02">
              <w:t xml:space="preserve">. The response time can </w:t>
            </w:r>
            <w:r w:rsidR="00DC7E2C" w:rsidRPr="00E41F02">
              <w:t xml:space="preserve">therefore, </w:t>
            </w:r>
            <w:r w:rsidR="00E11D29" w:rsidRPr="00E41F02">
              <w:t>be faster and the losses incurred can be reduced.</w:t>
            </w:r>
          </w:p>
          <w:p w:rsidR="00E11D29" w:rsidRPr="00E41F02" w:rsidRDefault="00E11D29" w:rsidP="00853D7A">
            <w:pPr>
              <w:jc w:val="both"/>
            </w:pPr>
          </w:p>
          <w:p w:rsidR="00E11D29" w:rsidRPr="00E41F02" w:rsidRDefault="00E11D29" w:rsidP="00853D7A">
            <w:pPr>
              <w:jc w:val="both"/>
            </w:pPr>
            <w:r w:rsidRPr="00E41F02">
              <w:lastRenderedPageBreak/>
              <w:t xml:space="preserve">Such an initiative has already been piloted in the Mayaro-Rio Claro Regional </w:t>
            </w:r>
            <w:r w:rsidR="00406772">
              <w:t>Corporation</w:t>
            </w:r>
            <w:r w:rsidRPr="00E41F02">
              <w:t xml:space="preserve"> of Trinidad. Under project oversight by the UNDP, a Cuban Risk Reduction Management Cen</w:t>
            </w:r>
            <w:r w:rsidR="004B5896" w:rsidRPr="00E41F02">
              <w:t>t</w:t>
            </w:r>
            <w:r w:rsidRPr="00E41F02">
              <w:t>re model was replicated in Trinidad as a means of enhancing the capacity of the Disaster Management Unit for Mayaro. The project yielded promising results from its first response to th</w:t>
            </w:r>
            <w:r w:rsidR="004B5896" w:rsidRPr="00E41F02">
              <w:t>e Mayaro flood disaster in Nove</w:t>
            </w:r>
            <w:r w:rsidRPr="00E41F02">
              <w:t>mber 2014.</w:t>
            </w:r>
            <w:r w:rsidR="008B4905" w:rsidRPr="00E41F02">
              <w:t xml:space="preserve"> (United Nations Development Programme, 2014)</w:t>
            </w:r>
          </w:p>
          <w:p w:rsidR="00E11D29" w:rsidRPr="00E41F02" w:rsidRDefault="00E11D29" w:rsidP="00853D7A">
            <w:pPr>
              <w:jc w:val="both"/>
            </w:pPr>
          </w:p>
          <w:p w:rsidR="002B3876" w:rsidRPr="00E41F02" w:rsidRDefault="00E11D29" w:rsidP="00820641">
            <w:pPr>
              <w:jc w:val="both"/>
            </w:pPr>
            <w:r w:rsidRPr="00E41F02">
              <w:t xml:space="preserve">Following this success, a proposal has been </w:t>
            </w:r>
            <w:r w:rsidR="005D650B" w:rsidRPr="00E41F02">
              <w:t xml:space="preserve">developed </w:t>
            </w:r>
            <w:r w:rsidRPr="00E41F02">
              <w:t>for the</w:t>
            </w:r>
            <w:r w:rsidR="00F23118" w:rsidRPr="00E41F02">
              <w:t xml:space="preserve"> enhancement of</w:t>
            </w:r>
            <w:r w:rsidR="005D650B" w:rsidRPr="00E41F02">
              <w:t xml:space="preserve"> the capacity of</w:t>
            </w:r>
            <w:r w:rsidR="00F23118" w:rsidRPr="00E41F02">
              <w:t xml:space="preserve"> Disaster Management Units across the country </w:t>
            </w:r>
            <w:r w:rsidR="005D650B" w:rsidRPr="00E41F02">
              <w:t xml:space="preserve">based on the lessons learnt during the pilot and is currently under consideration by the Ministry of Rural Development and Local Government as well as the Ministry of National Security.  </w:t>
            </w:r>
          </w:p>
          <w:p w:rsidR="001D2DD1" w:rsidRPr="00E41F02" w:rsidRDefault="001D2DD1" w:rsidP="00820641">
            <w:pPr>
              <w:jc w:val="both"/>
            </w:pPr>
            <w:r w:rsidRPr="00E41F02">
              <w:t>For this pilot project it is proposed to implement the year one activities based on this proposal fo</w:t>
            </w:r>
            <w:r w:rsidR="00406772">
              <w:t xml:space="preserve">r the capacity building of the </w:t>
            </w:r>
            <w:r w:rsidR="00D23BAE">
              <w:t>two (2)</w:t>
            </w:r>
            <w:r w:rsidR="00406772">
              <w:t xml:space="preserve"> pilot municipaliti</w:t>
            </w:r>
            <w:r w:rsidR="00406772" w:rsidRPr="00E41F02">
              <w:t>es</w:t>
            </w:r>
            <w:r w:rsidR="00D814D0" w:rsidRPr="00E41F02">
              <w:t xml:space="preserve"> in Disaster Risk Reduction. </w:t>
            </w:r>
          </w:p>
          <w:p w:rsidR="00EA4384" w:rsidRPr="00E41F02" w:rsidRDefault="00EA4384" w:rsidP="00820641">
            <w:pPr>
              <w:jc w:val="both"/>
            </w:pPr>
          </w:p>
        </w:tc>
      </w:tr>
      <w:tr w:rsidR="002B3876" w:rsidRPr="00E41F02" w:rsidTr="001121EC">
        <w:trPr>
          <w:trHeight w:val="500"/>
        </w:trPr>
        <w:tc>
          <w:tcPr>
            <w:tcW w:w="1822" w:type="pct"/>
            <w:vAlign w:val="center"/>
          </w:tcPr>
          <w:p w:rsidR="002B3876" w:rsidRPr="00E41F02" w:rsidRDefault="002B3876" w:rsidP="001121EC">
            <w:pPr>
              <w:rPr>
                <w:b/>
              </w:rPr>
            </w:pPr>
            <w:r w:rsidRPr="00E41F02">
              <w:rPr>
                <w:b/>
              </w:rPr>
              <w:lastRenderedPageBreak/>
              <w:t>Expected Results/Deliverables</w:t>
            </w:r>
          </w:p>
        </w:tc>
        <w:tc>
          <w:tcPr>
            <w:tcW w:w="3178" w:type="pct"/>
            <w:shd w:val="clear" w:color="auto" w:fill="auto"/>
            <w:vAlign w:val="center"/>
          </w:tcPr>
          <w:p w:rsidR="00B64C10" w:rsidRPr="00E41F02" w:rsidRDefault="00FC4A1A" w:rsidP="00B64C10">
            <w:pPr>
              <w:jc w:val="both"/>
            </w:pPr>
            <w:r w:rsidRPr="00E41F02">
              <w:t>The deliverables from the Local Government reform pilot project include, but are not limited to:</w:t>
            </w:r>
          </w:p>
          <w:p w:rsidR="00FC4A1A" w:rsidRPr="00E41F02" w:rsidRDefault="00FC4A1A" w:rsidP="00B64C10">
            <w:pPr>
              <w:jc w:val="both"/>
            </w:pPr>
          </w:p>
          <w:p w:rsidR="00FC4A1A" w:rsidRPr="00E41F02" w:rsidRDefault="00FC4A1A" w:rsidP="00B64C10">
            <w:pPr>
              <w:jc w:val="both"/>
              <w:rPr>
                <w:b/>
              </w:rPr>
            </w:pPr>
            <w:r w:rsidRPr="00E41F02">
              <w:rPr>
                <w:b/>
              </w:rPr>
              <w:t>Component 1:</w:t>
            </w:r>
          </w:p>
          <w:p w:rsidR="00FC4A1A" w:rsidRPr="00E41F02" w:rsidRDefault="00FC4A1A" w:rsidP="00B64C10">
            <w:pPr>
              <w:jc w:val="both"/>
            </w:pPr>
          </w:p>
          <w:p w:rsidR="002A1938" w:rsidRPr="00E41F02" w:rsidRDefault="002A1938" w:rsidP="00B64C10">
            <w:pPr>
              <w:jc w:val="both"/>
            </w:pPr>
            <w:r w:rsidRPr="00E41F02">
              <w:t>-Gap analysis report on the existing legislation and policy frameworks with respect to Local Government, following review of these documents.</w:t>
            </w:r>
          </w:p>
          <w:p w:rsidR="004541C8" w:rsidRPr="00E41F02" w:rsidRDefault="00C72B99" w:rsidP="00B64C10">
            <w:pPr>
              <w:jc w:val="both"/>
            </w:pPr>
            <w:r w:rsidRPr="00E41F02">
              <w:t>-Two (2</w:t>
            </w:r>
            <w:r w:rsidR="004541C8" w:rsidRPr="00E41F02">
              <w:t>) public consultation workshop</w:t>
            </w:r>
            <w:r w:rsidR="00011ECF" w:rsidRPr="00E41F02">
              <w:t>s</w:t>
            </w:r>
            <w:r w:rsidR="004541C8" w:rsidRPr="00E41F02">
              <w:t xml:space="preserve"> for each </w:t>
            </w:r>
            <w:r w:rsidR="00406772">
              <w:t>municipality</w:t>
            </w:r>
            <w:r w:rsidR="004541C8" w:rsidRPr="00E41F02">
              <w:t xml:space="preserve"> participating in the pilot project.</w:t>
            </w:r>
          </w:p>
          <w:p w:rsidR="00FC4A1A" w:rsidRPr="00E41F02" w:rsidRDefault="004541C8" w:rsidP="00B64C10">
            <w:pPr>
              <w:jc w:val="both"/>
            </w:pPr>
            <w:r w:rsidRPr="00E41F02">
              <w:t>-Public c</w:t>
            </w:r>
            <w:r w:rsidR="00FC4A1A" w:rsidRPr="00E41F02">
              <w:t>onsultation report summarising the concerns, challenges, recommendations and objectives suggested by the stakeholders for consideration by the project team.</w:t>
            </w:r>
          </w:p>
          <w:p w:rsidR="00FC4A1A" w:rsidRPr="00E41F02" w:rsidRDefault="00FC4A1A" w:rsidP="00B64C10">
            <w:pPr>
              <w:jc w:val="both"/>
            </w:pPr>
          </w:p>
          <w:p w:rsidR="00FC4A1A" w:rsidRPr="00E41F02" w:rsidRDefault="00FC4A1A" w:rsidP="00B64C10">
            <w:pPr>
              <w:jc w:val="both"/>
              <w:rPr>
                <w:b/>
              </w:rPr>
            </w:pPr>
            <w:r w:rsidRPr="00E41F02">
              <w:rPr>
                <w:b/>
              </w:rPr>
              <w:t>Component 2:</w:t>
            </w:r>
          </w:p>
          <w:p w:rsidR="00FC4A1A" w:rsidRPr="00E41F02" w:rsidRDefault="00FC4A1A" w:rsidP="00B64C10">
            <w:pPr>
              <w:jc w:val="both"/>
            </w:pPr>
          </w:p>
          <w:p w:rsidR="00FC4A1A" w:rsidRPr="00E41F02" w:rsidRDefault="00FC4A1A" w:rsidP="00B64C10">
            <w:pPr>
              <w:jc w:val="both"/>
            </w:pPr>
            <w:r w:rsidRPr="00E41F02">
              <w:t>-Review or analysis of other models of local government including the Tobago House of Assembly model of governance.</w:t>
            </w:r>
          </w:p>
          <w:p w:rsidR="00FC4A1A" w:rsidRPr="00E41F02" w:rsidRDefault="00FC4A1A" w:rsidP="00B64C10">
            <w:pPr>
              <w:jc w:val="both"/>
            </w:pPr>
            <w:r w:rsidRPr="00E41F02">
              <w:t>-Action plan from the UNVs for the pilot project including the relevant considerations from the stakeholder consultation.</w:t>
            </w:r>
          </w:p>
          <w:p w:rsidR="00DC7E2C" w:rsidRPr="00E41F02" w:rsidRDefault="00DC7E2C" w:rsidP="00B64C10">
            <w:pPr>
              <w:jc w:val="both"/>
            </w:pPr>
            <w:r w:rsidRPr="00E41F02">
              <w:t>-Implementation of the identified outcomes within the specified time period, as agreed between the partners involved.</w:t>
            </w:r>
          </w:p>
          <w:p w:rsidR="00EE68AB" w:rsidRPr="00E41F02" w:rsidRDefault="00EE68AB" w:rsidP="00B64C10">
            <w:pPr>
              <w:jc w:val="both"/>
            </w:pPr>
            <w:r w:rsidRPr="00E41F02">
              <w:t xml:space="preserve">- Development of knowledge products </w:t>
            </w:r>
            <w:r w:rsidR="00DD772B" w:rsidRPr="00E41F02">
              <w:t xml:space="preserve">based on individual outcomes achieved </w:t>
            </w:r>
          </w:p>
          <w:p w:rsidR="00FC4A1A" w:rsidRPr="00E41F02" w:rsidRDefault="00FC4A1A" w:rsidP="00B64C10">
            <w:pPr>
              <w:jc w:val="both"/>
            </w:pPr>
            <w:r w:rsidRPr="00E41F02">
              <w:t xml:space="preserve">-End report from the UNVs on </w:t>
            </w:r>
            <w:r w:rsidR="00FE2B8F" w:rsidRPr="00E41F02">
              <w:t xml:space="preserve">lessons learnt from </w:t>
            </w:r>
            <w:r w:rsidRPr="00E41F02">
              <w:t xml:space="preserve">the pilot project for implementation in other </w:t>
            </w:r>
            <w:r w:rsidR="00406772">
              <w:t>municipaliti</w:t>
            </w:r>
            <w:r w:rsidR="00406772" w:rsidRPr="00E41F02">
              <w:t>es</w:t>
            </w:r>
            <w:r w:rsidRPr="00E41F02">
              <w:t>.</w:t>
            </w:r>
          </w:p>
          <w:p w:rsidR="00FC4A1A" w:rsidRPr="00E41F02" w:rsidRDefault="00FC4A1A" w:rsidP="00B64C10">
            <w:pPr>
              <w:jc w:val="both"/>
            </w:pPr>
          </w:p>
          <w:p w:rsidR="00FC4A1A" w:rsidRPr="00E41F02" w:rsidRDefault="00FC4A1A" w:rsidP="00B64C10">
            <w:pPr>
              <w:jc w:val="both"/>
              <w:rPr>
                <w:b/>
              </w:rPr>
            </w:pPr>
            <w:r w:rsidRPr="00E41F02">
              <w:rPr>
                <w:b/>
              </w:rPr>
              <w:t>Component 3:</w:t>
            </w:r>
          </w:p>
          <w:p w:rsidR="00FC4A1A" w:rsidRPr="00E41F02" w:rsidRDefault="00FC4A1A" w:rsidP="00B64C10">
            <w:pPr>
              <w:jc w:val="both"/>
            </w:pPr>
          </w:p>
          <w:p w:rsidR="00FC4A1A" w:rsidRPr="00E41F02" w:rsidRDefault="00FC4A1A" w:rsidP="00B64C10">
            <w:pPr>
              <w:jc w:val="both"/>
            </w:pPr>
            <w:r w:rsidRPr="00E41F02">
              <w:t xml:space="preserve">-ICT Action Plan with the </w:t>
            </w:r>
            <w:r w:rsidR="00150C9F" w:rsidRPr="00E41F02">
              <w:t xml:space="preserve">recommendations for the </w:t>
            </w:r>
            <w:r w:rsidRPr="00E41F02">
              <w:t xml:space="preserve">necessary hardware, software and other resources for establishing an ICT system for the </w:t>
            </w:r>
            <w:r w:rsidR="00406772">
              <w:t>Municipality</w:t>
            </w:r>
            <w:r w:rsidRPr="00E41F02">
              <w:t>.</w:t>
            </w:r>
          </w:p>
          <w:p w:rsidR="00FC4A1A" w:rsidRPr="00E41F02" w:rsidRDefault="00FC4A1A" w:rsidP="00B64C10">
            <w:pPr>
              <w:jc w:val="both"/>
            </w:pPr>
          </w:p>
          <w:p w:rsidR="00FC4A1A" w:rsidRPr="00E41F02" w:rsidRDefault="00FC4A1A" w:rsidP="00B64C10">
            <w:pPr>
              <w:jc w:val="both"/>
              <w:rPr>
                <w:b/>
              </w:rPr>
            </w:pPr>
            <w:r w:rsidRPr="00E41F02">
              <w:rPr>
                <w:b/>
              </w:rPr>
              <w:t>Component 4:</w:t>
            </w:r>
          </w:p>
          <w:p w:rsidR="00FC4A1A" w:rsidRPr="00E41F02" w:rsidRDefault="00FC4A1A" w:rsidP="00B64C10">
            <w:pPr>
              <w:jc w:val="both"/>
            </w:pPr>
          </w:p>
          <w:p w:rsidR="001B18F4" w:rsidRPr="00E41F02" w:rsidRDefault="001B18F4" w:rsidP="001B18F4">
            <w:pPr>
              <w:jc w:val="both"/>
            </w:pPr>
            <w:r w:rsidRPr="00E41F02">
              <w:t xml:space="preserve">1. </w:t>
            </w:r>
            <w:r w:rsidR="00B45544" w:rsidRPr="00E41F02">
              <w:t>Consultations/Sens</w:t>
            </w:r>
            <w:r w:rsidRPr="00E41F02">
              <w:t xml:space="preserve">itization Local Government </w:t>
            </w:r>
            <w:r w:rsidRPr="00E41F02">
              <w:tab/>
            </w:r>
            <w:r w:rsidRPr="00E41F02">
              <w:tab/>
            </w:r>
          </w:p>
          <w:p w:rsidR="001B18F4" w:rsidRPr="00E41F02" w:rsidRDefault="002D04BC" w:rsidP="001B18F4">
            <w:pPr>
              <w:pStyle w:val="ListParagraph"/>
              <w:numPr>
                <w:ilvl w:val="0"/>
                <w:numId w:val="8"/>
              </w:numPr>
              <w:jc w:val="both"/>
              <w:rPr>
                <w:rFonts w:ascii="Arial Narrow" w:hAnsi="Arial Narrow"/>
                <w:sz w:val="24"/>
                <w:szCs w:val="24"/>
              </w:rPr>
            </w:pPr>
            <w:r>
              <w:rPr>
                <w:rFonts w:ascii="Arial Narrow" w:hAnsi="Arial Narrow"/>
                <w:sz w:val="24"/>
                <w:szCs w:val="24"/>
              </w:rPr>
              <w:t xml:space="preserve">Identify </w:t>
            </w:r>
            <w:r w:rsidR="00D23BAE">
              <w:rPr>
                <w:rFonts w:ascii="Arial Narrow" w:hAnsi="Arial Narrow"/>
                <w:sz w:val="24"/>
                <w:szCs w:val="24"/>
              </w:rPr>
              <w:t>2</w:t>
            </w:r>
            <w:r w:rsidR="00B45544" w:rsidRPr="00E41F02">
              <w:rPr>
                <w:rFonts w:ascii="Arial Narrow" w:hAnsi="Arial Narrow"/>
                <w:sz w:val="24"/>
                <w:szCs w:val="24"/>
              </w:rPr>
              <w:t xml:space="preserve"> </w:t>
            </w:r>
            <w:r w:rsidR="00406772">
              <w:rPr>
                <w:rFonts w:ascii="Arial Narrow" w:hAnsi="Arial Narrow"/>
                <w:sz w:val="24"/>
                <w:szCs w:val="24"/>
              </w:rPr>
              <w:t>municipaliti</w:t>
            </w:r>
            <w:r w:rsidR="00406772" w:rsidRPr="00E41F02">
              <w:rPr>
                <w:rFonts w:ascii="Arial Narrow" w:hAnsi="Arial Narrow"/>
                <w:sz w:val="24"/>
                <w:szCs w:val="24"/>
              </w:rPr>
              <w:t>es</w:t>
            </w:r>
            <w:r w:rsidR="00B45544" w:rsidRPr="00E41F02">
              <w:rPr>
                <w:rFonts w:ascii="Arial Narrow" w:hAnsi="Arial Narrow"/>
                <w:sz w:val="24"/>
                <w:szCs w:val="24"/>
              </w:rPr>
              <w:t xml:space="preserve"> for implementation</w:t>
            </w:r>
          </w:p>
          <w:p w:rsidR="00B45544" w:rsidRPr="00E41F02" w:rsidRDefault="00B45544" w:rsidP="001B18F4">
            <w:pPr>
              <w:pStyle w:val="ListParagraph"/>
              <w:numPr>
                <w:ilvl w:val="0"/>
                <w:numId w:val="8"/>
              </w:numPr>
              <w:jc w:val="both"/>
              <w:rPr>
                <w:rFonts w:ascii="Arial Narrow" w:hAnsi="Arial Narrow"/>
                <w:sz w:val="24"/>
                <w:szCs w:val="24"/>
              </w:rPr>
            </w:pPr>
            <w:r w:rsidRPr="00E41F02">
              <w:rPr>
                <w:rFonts w:ascii="Arial Narrow" w:hAnsi="Arial Narrow"/>
                <w:sz w:val="24"/>
                <w:szCs w:val="24"/>
              </w:rPr>
              <w:t>Consults with national public</w:t>
            </w:r>
            <w:r w:rsidR="002D04BC">
              <w:rPr>
                <w:rFonts w:ascii="Arial Narrow" w:hAnsi="Arial Narrow"/>
                <w:sz w:val="24"/>
                <w:szCs w:val="24"/>
              </w:rPr>
              <w:t>/private/civil society</w:t>
            </w:r>
            <w:r w:rsidRPr="00E41F02">
              <w:rPr>
                <w:rFonts w:ascii="Arial Narrow" w:hAnsi="Arial Narrow"/>
                <w:sz w:val="24"/>
                <w:szCs w:val="24"/>
              </w:rPr>
              <w:t xml:space="preserve"> sector bodies</w:t>
            </w:r>
          </w:p>
          <w:p w:rsidR="00B45544" w:rsidRPr="00E41F02" w:rsidRDefault="00B45544" w:rsidP="00B45544">
            <w:pPr>
              <w:jc w:val="both"/>
            </w:pPr>
          </w:p>
          <w:p w:rsidR="001B18F4" w:rsidRPr="00E41F02" w:rsidRDefault="001B18F4" w:rsidP="00B45544">
            <w:pPr>
              <w:jc w:val="both"/>
            </w:pPr>
            <w:r w:rsidRPr="00E41F02">
              <w:t xml:space="preserve">2. </w:t>
            </w:r>
            <w:r w:rsidR="00B45544" w:rsidRPr="00E41F02">
              <w:t>Vulnerability asse</w:t>
            </w:r>
            <w:r w:rsidRPr="00E41F02">
              <w:t xml:space="preserve">ssments completed for DMUs </w:t>
            </w:r>
            <w:r w:rsidRPr="00E41F02">
              <w:tab/>
            </w:r>
          </w:p>
          <w:p w:rsidR="00B45544" w:rsidRPr="00E41F02" w:rsidRDefault="00B45544" w:rsidP="001B18F4">
            <w:pPr>
              <w:pStyle w:val="ListParagraph"/>
              <w:numPr>
                <w:ilvl w:val="0"/>
                <w:numId w:val="10"/>
              </w:numPr>
              <w:ind w:left="725"/>
              <w:jc w:val="both"/>
              <w:rPr>
                <w:rFonts w:ascii="Arial Narrow" w:hAnsi="Arial Narrow"/>
                <w:sz w:val="24"/>
                <w:szCs w:val="24"/>
              </w:rPr>
            </w:pPr>
            <w:r w:rsidRPr="00E41F02">
              <w:rPr>
                <w:rFonts w:ascii="Arial Narrow" w:hAnsi="Arial Narrow"/>
                <w:sz w:val="24"/>
                <w:szCs w:val="24"/>
              </w:rPr>
              <w:t>Vulnerability criteria established</w:t>
            </w:r>
          </w:p>
          <w:p w:rsidR="00B45544" w:rsidRPr="00E41F02" w:rsidRDefault="00B45544" w:rsidP="00B45544">
            <w:pPr>
              <w:jc w:val="both"/>
            </w:pPr>
            <w:r w:rsidRPr="00E41F02">
              <w:t>3. Implementation Plans formulated</w:t>
            </w:r>
            <w:r w:rsidRPr="00E41F02">
              <w:tab/>
            </w:r>
            <w:r w:rsidRPr="00E41F02">
              <w:tab/>
            </w:r>
            <w:r w:rsidRPr="00E41F02">
              <w:tab/>
            </w:r>
            <w:r w:rsidRPr="00E41F02">
              <w:tab/>
            </w:r>
            <w:r w:rsidRPr="00E41F02">
              <w:tab/>
            </w:r>
          </w:p>
          <w:p w:rsidR="001B18F4" w:rsidRPr="00E41F02" w:rsidRDefault="001B18F4" w:rsidP="008C6F82">
            <w:pPr>
              <w:jc w:val="both"/>
            </w:pPr>
          </w:p>
          <w:p w:rsidR="008C6F82" w:rsidRPr="00E41F02" w:rsidRDefault="001B18F4" w:rsidP="008C6F82">
            <w:pPr>
              <w:jc w:val="both"/>
            </w:pPr>
            <w:r w:rsidRPr="00E41F02">
              <w:t xml:space="preserve">4. </w:t>
            </w:r>
            <w:r w:rsidR="008C6F82" w:rsidRPr="00E41F02">
              <w:t xml:space="preserve">Capacity assessments completed </w:t>
            </w:r>
            <w:r w:rsidR="008C6F82" w:rsidRPr="00E41F02">
              <w:tab/>
            </w:r>
            <w:r w:rsidR="008C6F82" w:rsidRPr="00E41F02">
              <w:tab/>
            </w:r>
            <w:r w:rsidR="008C6F82" w:rsidRPr="00E41F02">
              <w:tab/>
            </w:r>
            <w:r w:rsidR="008C6F82" w:rsidRPr="00E41F02">
              <w:tab/>
            </w:r>
            <w:r w:rsidR="008C6F82" w:rsidRPr="00E41F02">
              <w:tab/>
            </w:r>
          </w:p>
          <w:p w:rsidR="008C6F82" w:rsidRPr="00E41F02" w:rsidRDefault="008C6F82" w:rsidP="008C6F82">
            <w:pPr>
              <w:jc w:val="both"/>
            </w:pPr>
          </w:p>
          <w:p w:rsidR="00B45544" w:rsidRPr="00E41F02" w:rsidRDefault="001B18F4" w:rsidP="008C6F82">
            <w:pPr>
              <w:jc w:val="both"/>
            </w:pPr>
            <w:r w:rsidRPr="00E41F02">
              <w:t>5</w:t>
            </w:r>
            <w:r w:rsidR="008C6F82" w:rsidRPr="00E41F02">
              <w:t xml:space="preserve">. DRR Capacity Development program, curriculum, and tools developed </w:t>
            </w:r>
            <w:r w:rsidR="008C6F82" w:rsidRPr="00E41F02">
              <w:tab/>
            </w:r>
          </w:p>
          <w:p w:rsidR="001B18F4" w:rsidRPr="00E41F02" w:rsidRDefault="001B18F4" w:rsidP="008C6F82">
            <w:pPr>
              <w:jc w:val="both"/>
            </w:pPr>
          </w:p>
          <w:p w:rsidR="001B18F4" w:rsidRPr="00E41F02" w:rsidRDefault="001B18F4" w:rsidP="00B45544">
            <w:pPr>
              <w:jc w:val="both"/>
            </w:pPr>
            <w:r w:rsidRPr="00E41F02">
              <w:t>6</w:t>
            </w:r>
            <w:r w:rsidR="00B45544" w:rsidRPr="00E41F02">
              <w:t>. Equipping and furbishing of DMUs</w:t>
            </w:r>
            <w:r w:rsidR="00B45544" w:rsidRPr="00E41F02">
              <w:tab/>
            </w:r>
            <w:r w:rsidR="00B45544" w:rsidRPr="00E41F02">
              <w:tab/>
            </w:r>
          </w:p>
          <w:p w:rsidR="00B45544" w:rsidRPr="00E41F02" w:rsidRDefault="00B45544" w:rsidP="00B45544">
            <w:pPr>
              <w:jc w:val="both"/>
            </w:pPr>
            <w:r w:rsidRPr="00E41F02">
              <w:tab/>
            </w:r>
            <w:r w:rsidRPr="00E41F02">
              <w:tab/>
            </w:r>
            <w:r w:rsidRPr="00E41F02">
              <w:tab/>
            </w:r>
          </w:p>
          <w:p w:rsidR="00B45544" w:rsidRPr="00E41F02" w:rsidRDefault="00B45544" w:rsidP="00B45544">
            <w:pPr>
              <w:jc w:val="both"/>
            </w:pPr>
            <w:r w:rsidRPr="00E41F02">
              <w:t xml:space="preserve">7. Data Management Systems established </w:t>
            </w:r>
            <w:r w:rsidRPr="00E41F02">
              <w:tab/>
            </w:r>
            <w:r w:rsidRPr="00E41F02">
              <w:tab/>
            </w:r>
            <w:r w:rsidRPr="00E41F02">
              <w:tab/>
            </w:r>
            <w:r w:rsidRPr="00E41F02">
              <w:tab/>
            </w:r>
          </w:p>
          <w:p w:rsidR="00B45544" w:rsidRPr="00E41F02" w:rsidRDefault="00B45544" w:rsidP="00B45544">
            <w:pPr>
              <w:jc w:val="both"/>
            </w:pPr>
          </w:p>
          <w:p w:rsidR="00B45544" w:rsidRPr="00E41F02" w:rsidRDefault="001B18F4" w:rsidP="00B45544">
            <w:pPr>
              <w:jc w:val="both"/>
            </w:pPr>
            <w:r w:rsidRPr="00E41F02">
              <w:t>8</w:t>
            </w:r>
            <w:r w:rsidR="00B45544" w:rsidRPr="00E41F02">
              <w:t xml:space="preserve">. Documentation of experience including design of </w:t>
            </w:r>
          </w:p>
          <w:p w:rsidR="002B3876" w:rsidRPr="00E41F02" w:rsidRDefault="00B45544" w:rsidP="00B45544">
            <w:pPr>
              <w:jc w:val="both"/>
            </w:pPr>
            <w:r w:rsidRPr="00E41F02">
              <w:t>kn</w:t>
            </w:r>
            <w:r w:rsidR="001B18F4" w:rsidRPr="00E41F02">
              <w:t xml:space="preserve">owledge management plan </w:t>
            </w:r>
            <w:r w:rsidR="001B18F4" w:rsidRPr="00E41F02">
              <w:tab/>
            </w:r>
            <w:r w:rsidR="001B18F4" w:rsidRPr="00E41F02">
              <w:tab/>
            </w:r>
            <w:r w:rsidR="001B18F4" w:rsidRPr="00E41F02">
              <w:tab/>
            </w:r>
            <w:r w:rsidR="001B18F4" w:rsidRPr="00E41F02">
              <w:tab/>
            </w:r>
            <w:r w:rsidR="001B18F4" w:rsidRPr="00E41F02">
              <w:tab/>
            </w:r>
            <w:r w:rsidR="001B18F4" w:rsidRPr="00E41F02">
              <w:tab/>
            </w:r>
          </w:p>
        </w:tc>
      </w:tr>
      <w:tr w:rsidR="002B3876" w:rsidRPr="00E41F02" w:rsidTr="001121EC">
        <w:trPr>
          <w:trHeight w:val="108"/>
        </w:trPr>
        <w:tc>
          <w:tcPr>
            <w:tcW w:w="5000" w:type="pct"/>
            <w:gridSpan w:val="2"/>
            <w:shd w:val="clear" w:color="auto" w:fill="7F7F7F"/>
            <w:vAlign w:val="center"/>
          </w:tcPr>
          <w:p w:rsidR="002B3876" w:rsidRPr="00E41F02" w:rsidRDefault="002B3876" w:rsidP="00597F02">
            <w:pPr>
              <w:jc w:val="both"/>
            </w:pPr>
          </w:p>
        </w:tc>
      </w:tr>
      <w:tr w:rsidR="002B3876" w:rsidRPr="00E41F02" w:rsidTr="001121EC">
        <w:trPr>
          <w:trHeight w:val="201"/>
        </w:trPr>
        <w:tc>
          <w:tcPr>
            <w:tcW w:w="1822" w:type="pct"/>
            <w:vAlign w:val="center"/>
          </w:tcPr>
          <w:p w:rsidR="002B3876" w:rsidRPr="00E41F02" w:rsidRDefault="002B3876" w:rsidP="00597F02">
            <w:pPr>
              <w:rPr>
                <w:b/>
              </w:rPr>
            </w:pPr>
            <w:r w:rsidRPr="00E41F02">
              <w:rPr>
                <w:b/>
              </w:rPr>
              <w:t>Budget</w:t>
            </w:r>
          </w:p>
        </w:tc>
        <w:tc>
          <w:tcPr>
            <w:tcW w:w="3178" w:type="pct"/>
            <w:vAlign w:val="center"/>
          </w:tcPr>
          <w:p w:rsidR="00B45119" w:rsidRPr="00E41F02" w:rsidRDefault="00030646" w:rsidP="00597F02">
            <w:pPr>
              <w:jc w:val="both"/>
            </w:pPr>
            <w:r w:rsidRPr="00E41F02">
              <w:t xml:space="preserve">This budgetary allocation includes the cost of: two (2) UNVs, </w:t>
            </w:r>
            <w:r w:rsidR="00D23BAE">
              <w:t>four</w:t>
            </w:r>
            <w:r w:rsidR="00406772">
              <w:t xml:space="preserve"> (</w:t>
            </w:r>
            <w:r w:rsidR="00D23BAE">
              <w:t>4</w:t>
            </w:r>
            <w:r w:rsidRPr="00E41F02">
              <w:t>) stakeholder consultations, procurement of the ICT specialist, and an estimate for implementing the Risk Reduction Management Centres</w:t>
            </w:r>
            <w:r w:rsidR="00801AE0" w:rsidRPr="00E41F02">
              <w:t xml:space="preserve"> in </w:t>
            </w:r>
            <w:r w:rsidR="00D23BAE">
              <w:t>two (2)</w:t>
            </w:r>
            <w:r w:rsidR="00801AE0" w:rsidRPr="00E41F02">
              <w:t xml:space="preserve"> pilot regions</w:t>
            </w:r>
            <w:r w:rsidRPr="00E41F02">
              <w:t>.</w:t>
            </w:r>
          </w:p>
          <w:p w:rsidR="00030646" w:rsidRPr="00E41F02" w:rsidRDefault="00030646" w:rsidP="00597F02">
            <w:pPr>
              <w:jc w:val="both"/>
            </w:pPr>
          </w:p>
          <w:p w:rsidR="002B3876" w:rsidRPr="00E41F02" w:rsidRDefault="00C36852" w:rsidP="00597F02">
            <w:pPr>
              <w:jc w:val="both"/>
            </w:pPr>
            <w:r w:rsidRPr="00E41F02">
              <w:t xml:space="preserve">Component 1: USD </w:t>
            </w:r>
            <w:r w:rsidR="005E13F8" w:rsidRPr="00E41F02">
              <w:t>2</w:t>
            </w:r>
            <w:r w:rsidR="002D04BC">
              <w:t>40</w:t>
            </w:r>
            <w:r w:rsidR="00030646" w:rsidRPr="00E41F02">
              <w:t>,000 (the cost of both UNVs is included here</w:t>
            </w:r>
            <w:r w:rsidR="00432056" w:rsidRPr="00E41F02">
              <w:t xml:space="preserve"> as well as thei</w:t>
            </w:r>
            <w:r w:rsidR="001B18F4" w:rsidRPr="00E41F02">
              <w:t>r office accommodation, supplies</w:t>
            </w:r>
            <w:r w:rsidR="00030646" w:rsidRPr="00E41F02">
              <w:t>)</w:t>
            </w:r>
          </w:p>
          <w:p w:rsidR="002B3876" w:rsidRPr="00E41F02" w:rsidRDefault="00C36852" w:rsidP="00597F02">
            <w:pPr>
              <w:jc w:val="both"/>
            </w:pPr>
            <w:r w:rsidRPr="00E41F02">
              <w:t xml:space="preserve">Component 2: USD </w:t>
            </w:r>
            <w:r w:rsidR="00B45119" w:rsidRPr="00E41F02">
              <w:t>100,000</w:t>
            </w:r>
          </w:p>
          <w:p w:rsidR="002B3876" w:rsidRPr="00E41F02" w:rsidRDefault="00C36852" w:rsidP="00597F02">
            <w:pPr>
              <w:jc w:val="both"/>
            </w:pPr>
            <w:r w:rsidRPr="00E41F02">
              <w:lastRenderedPageBreak/>
              <w:t xml:space="preserve">Component 3: USD </w:t>
            </w:r>
            <w:r w:rsidR="005E13F8" w:rsidRPr="00E41F02">
              <w:t>100</w:t>
            </w:r>
            <w:r w:rsidR="00B45119" w:rsidRPr="00E41F02">
              <w:t>,000</w:t>
            </w:r>
          </w:p>
          <w:p w:rsidR="002B3876" w:rsidRPr="00E41F02" w:rsidRDefault="00B45119" w:rsidP="00597F02">
            <w:pPr>
              <w:jc w:val="both"/>
            </w:pPr>
            <w:r w:rsidRPr="00E41F02">
              <w:t xml:space="preserve">Component 4: </w:t>
            </w:r>
            <w:r w:rsidR="00C36852" w:rsidRPr="00E41F02">
              <w:t xml:space="preserve">USD </w:t>
            </w:r>
            <w:r w:rsidR="00D23BAE">
              <w:t>2</w:t>
            </w:r>
            <w:r w:rsidR="003807CE" w:rsidRPr="00E41F02">
              <w:t>50</w:t>
            </w:r>
            <w:r w:rsidR="002B3876" w:rsidRPr="00E41F02">
              <w:t>,000</w:t>
            </w:r>
          </w:p>
          <w:p w:rsidR="002B3876" w:rsidRPr="00E41F02" w:rsidRDefault="002D04BC" w:rsidP="001121EC">
            <w:pPr>
              <w:jc w:val="both"/>
            </w:pPr>
            <w:r>
              <w:t xml:space="preserve">TOTAL         </w:t>
            </w:r>
            <w:r w:rsidR="003F0A42" w:rsidRPr="00E41F02">
              <w:t xml:space="preserve">: USD </w:t>
            </w:r>
            <w:r w:rsidR="00D23BAE">
              <w:t>6</w:t>
            </w:r>
            <w:r>
              <w:t>9</w:t>
            </w:r>
            <w:r w:rsidR="003807CE" w:rsidRPr="00E41F02">
              <w:t>0</w:t>
            </w:r>
            <w:r w:rsidR="00030646" w:rsidRPr="00E41F02">
              <w:t>,000</w:t>
            </w:r>
          </w:p>
          <w:p w:rsidR="001121EC" w:rsidRPr="00E41F02" w:rsidRDefault="001121EC" w:rsidP="001121EC">
            <w:pPr>
              <w:jc w:val="both"/>
            </w:pPr>
          </w:p>
        </w:tc>
      </w:tr>
      <w:tr w:rsidR="002B3876" w:rsidRPr="00E41F02" w:rsidTr="001121EC">
        <w:trPr>
          <w:trHeight w:val="201"/>
        </w:trPr>
        <w:tc>
          <w:tcPr>
            <w:tcW w:w="1822" w:type="pct"/>
            <w:vAlign w:val="center"/>
          </w:tcPr>
          <w:p w:rsidR="002B3876" w:rsidRPr="00E41F02" w:rsidRDefault="002B3876" w:rsidP="00597F02">
            <w:r w:rsidRPr="00E41F02">
              <w:rPr>
                <w:b/>
              </w:rPr>
              <w:lastRenderedPageBreak/>
              <w:t>Implementing Agency</w:t>
            </w:r>
          </w:p>
          <w:p w:rsidR="002B3876" w:rsidRPr="00E41F02" w:rsidRDefault="002B3876" w:rsidP="00597F02">
            <w:pPr>
              <w:rPr>
                <w:b/>
              </w:rPr>
            </w:pPr>
          </w:p>
        </w:tc>
        <w:tc>
          <w:tcPr>
            <w:tcW w:w="3178" w:type="pct"/>
            <w:vAlign w:val="center"/>
          </w:tcPr>
          <w:p w:rsidR="002B3876" w:rsidRPr="00E41F02" w:rsidRDefault="002B3876" w:rsidP="00597F02">
            <w:pPr>
              <w:jc w:val="both"/>
            </w:pPr>
            <w:r w:rsidRPr="00E41F02">
              <w:t>United Nations Development Programme</w:t>
            </w:r>
          </w:p>
          <w:p w:rsidR="002B3876" w:rsidRPr="00E41F02" w:rsidRDefault="002B3876" w:rsidP="00597F02">
            <w:pPr>
              <w:jc w:val="both"/>
            </w:pPr>
            <w:r w:rsidRPr="00E41F02">
              <w:t>Trinidad and Tobago, Suriname, Aruba, Curaçao and Sint Maarten</w:t>
            </w:r>
          </w:p>
          <w:p w:rsidR="002B3876" w:rsidRPr="00E41F02" w:rsidRDefault="002B3876" w:rsidP="00597F02">
            <w:pPr>
              <w:jc w:val="both"/>
            </w:pPr>
            <w:r w:rsidRPr="00E41F02">
              <w:t>UN House, 3A Chancery Lane</w:t>
            </w:r>
          </w:p>
          <w:p w:rsidR="002B3876" w:rsidRPr="00E41F02" w:rsidRDefault="002B3876" w:rsidP="00597F02">
            <w:pPr>
              <w:jc w:val="both"/>
            </w:pPr>
            <w:r w:rsidRPr="00E41F02">
              <w:t>Port-of-Spain, Trinidad and Tobago</w:t>
            </w:r>
          </w:p>
          <w:p w:rsidR="002B3876" w:rsidRPr="00E41F02" w:rsidRDefault="002B3876" w:rsidP="00597F02">
            <w:pPr>
              <w:jc w:val="both"/>
            </w:pPr>
            <w:r w:rsidRPr="00E41F02">
              <w:t xml:space="preserve">Telephone: +1(868)623-1826/7056 </w:t>
            </w:r>
          </w:p>
          <w:p w:rsidR="002B3876" w:rsidRPr="00E41F02" w:rsidRDefault="002B3876" w:rsidP="00597F02">
            <w:pPr>
              <w:jc w:val="both"/>
            </w:pPr>
            <w:r w:rsidRPr="00E41F02">
              <w:t xml:space="preserve">Fax: +1(868)623-1658 </w:t>
            </w:r>
          </w:p>
          <w:p w:rsidR="001D5837" w:rsidRPr="00E41F02" w:rsidRDefault="002B3876" w:rsidP="00597F02">
            <w:pPr>
              <w:jc w:val="both"/>
            </w:pPr>
            <w:r w:rsidRPr="00E41F02">
              <w:t xml:space="preserve">Website: </w:t>
            </w:r>
            <w:r w:rsidR="001D5837" w:rsidRPr="00E41F02">
              <w:t>www.tt.undp.org</w:t>
            </w:r>
          </w:p>
          <w:p w:rsidR="002B3876" w:rsidRPr="00E41F02" w:rsidRDefault="002B3876" w:rsidP="00597F02">
            <w:pPr>
              <w:jc w:val="both"/>
            </w:pPr>
          </w:p>
        </w:tc>
      </w:tr>
      <w:tr w:rsidR="002B3876" w:rsidRPr="00E41F02" w:rsidTr="001121EC">
        <w:trPr>
          <w:trHeight w:val="201"/>
        </w:trPr>
        <w:tc>
          <w:tcPr>
            <w:tcW w:w="1822" w:type="pct"/>
            <w:vAlign w:val="center"/>
          </w:tcPr>
          <w:p w:rsidR="002B3876" w:rsidRPr="00E41F02" w:rsidRDefault="002B3876" w:rsidP="00597F02">
            <w:pPr>
              <w:rPr>
                <w:b/>
              </w:rPr>
            </w:pPr>
            <w:r w:rsidRPr="00E41F02">
              <w:rPr>
                <w:b/>
              </w:rPr>
              <w:t>Implementing Partners</w:t>
            </w:r>
          </w:p>
          <w:p w:rsidR="002B3876" w:rsidRPr="00E41F02" w:rsidRDefault="002B3876" w:rsidP="00597F02">
            <w:pPr>
              <w:rPr>
                <w:b/>
              </w:rPr>
            </w:pPr>
          </w:p>
        </w:tc>
        <w:tc>
          <w:tcPr>
            <w:tcW w:w="3178" w:type="pct"/>
            <w:vAlign w:val="center"/>
          </w:tcPr>
          <w:p w:rsidR="00414568" w:rsidRPr="00E41F02" w:rsidRDefault="00414568" w:rsidP="00414568">
            <w:r w:rsidRPr="00E41F02">
              <w:t>Ministry of Rural Development &amp; Local Government</w:t>
            </w:r>
            <w:r w:rsidRPr="00E41F02">
              <w:br/>
              <w:t>Kent House,</w:t>
            </w:r>
            <w:r w:rsidRPr="00E41F02">
              <w:br/>
              <w:t>Long Circular Road, Maraval</w:t>
            </w:r>
            <w:r w:rsidRPr="00E41F02">
              <w:br/>
              <w:t>Trinidad &amp; Tobago</w:t>
            </w:r>
          </w:p>
          <w:p w:rsidR="00414568" w:rsidRPr="00E41F02" w:rsidRDefault="00414568" w:rsidP="00414568">
            <w:r w:rsidRPr="00E41F02">
              <w:t>Tel: (868) 622-1669</w:t>
            </w:r>
          </w:p>
          <w:p w:rsidR="002B3876" w:rsidRPr="00E41F02" w:rsidRDefault="00414568" w:rsidP="00414568">
            <w:r w:rsidRPr="00E41F02">
              <w:t>Fax: (868) 628-7283</w:t>
            </w:r>
          </w:p>
          <w:p w:rsidR="007C688C" w:rsidRPr="00E41F02" w:rsidRDefault="007C688C" w:rsidP="00414568"/>
        </w:tc>
      </w:tr>
      <w:tr w:rsidR="00C03800" w:rsidRPr="00E41F02" w:rsidTr="001121EC">
        <w:trPr>
          <w:trHeight w:val="201"/>
        </w:trPr>
        <w:tc>
          <w:tcPr>
            <w:tcW w:w="1822" w:type="pct"/>
            <w:vAlign w:val="center"/>
          </w:tcPr>
          <w:p w:rsidR="00C03800" w:rsidRPr="00E41F02" w:rsidRDefault="00C03800" w:rsidP="00597F02">
            <w:pPr>
              <w:rPr>
                <w:b/>
              </w:rPr>
            </w:pPr>
            <w:r w:rsidRPr="00E41F02">
              <w:rPr>
                <w:b/>
              </w:rPr>
              <w:t>References</w:t>
            </w:r>
          </w:p>
        </w:tc>
        <w:tc>
          <w:tcPr>
            <w:tcW w:w="3178" w:type="pct"/>
            <w:vAlign w:val="center"/>
          </w:tcPr>
          <w:p w:rsidR="007C688C" w:rsidRPr="00E41F02" w:rsidRDefault="00F73548" w:rsidP="007C688C">
            <w:pPr>
              <w:pStyle w:val="Bibliography"/>
              <w:ind w:left="720" w:hanging="720"/>
              <w:rPr>
                <w:noProof/>
                <w:lang w:val="en-TT"/>
              </w:rPr>
            </w:pPr>
            <w:r w:rsidRPr="00E41F02">
              <w:fldChar w:fldCharType="begin"/>
            </w:r>
            <w:r w:rsidR="007C688C" w:rsidRPr="00E41F02">
              <w:rPr>
                <w:lang w:val="en-TT"/>
              </w:rPr>
              <w:instrText xml:space="preserve"> BIBLIOGRAPHY  \l 11273 </w:instrText>
            </w:r>
            <w:r w:rsidRPr="00E41F02">
              <w:fldChar w:fldCharType="separate"/>
            </w:r>
            <w:r w:rsidR="007C688C" w:rsidRPr="00E41F02">
              <w:rPr>
                <w:noProof/>
                <w:lang w:val="en-TT"/>
              </w:rPr>
              <w:t>Department of the Environment. 2013. “DOE.” February. Accessed October 2015. http://www.doeni.gov.uk/benefits_of_local_government_reform.pdf.</w:t>
            </w:r>
          </w:p>
          <w:p w:rsidR="007C688C" w:rsidRPr="00E41F02" w:rsidRDefault="007C688C" w:rsidP="007C688C">
            <w:pPr>
              <w:pStyle w:val="Bibliography"/>
              <w:ind w:left="720" w:hanging="720"/>
              <w:rPr>
                <w:noProof/>
                <w:lang w:val="en-TT"/>
              </w:rPr>
            </w:pPr>
            <w:r w:rsidRPr="00E41F02">
              <w:rPr>
                <w:noProof/>
                <w:lang w:val="en-TT"/>
              </w:rPr>
              <w:t>—. 2015. “DOE.” Accessed October 2015. http://www.doeni.gov.uk/local_government_reform.</w:t>
            </w:r>
          </w:p>
          <w:p w:rsidR="007C688C" w:rsidRPr="00E41F02" w:rsidRDefault="007C688C" w:rsidP="007C688C">
            <w:pPr>
              <w:pStyle w:val="Bibliography"/>
              <w:ind w:left="720" w:hanging="720"/>
              <w:rPr>
                <w:noProof/>
                <w:lang w:val="en-TT"/>
              </w:rPr>
            </w:pPr>
            <w:r w:rsidRPr="00E41F02">
              <w:rPr>
                <w:noProof/>
                <w:lang w:val="en-TT"/>
              </w:rPr>
              <w:t xml:space="preserve">Ministry of Local Government. 2013. </w:t>
            </w:r>
            <w:r w:rsidRPr="00E41F02">
              <w:rPr>
                <w:i/>
                <w:iCs/>
                <w:noProof/>
                <w:lang w:val="en-TT"/>
              </w:rPr>
              <w:t>Draft White Paper on Local Government Transformation and Modernization 2013.</w:t>
            </w:r>
            <w:r w:rsidRPr="00E41F02">
              <w:rPr>
                <w:noProof/>
                <w:lang w:val="en-TT"/>
              </w:rPr>
              <w:t xml:space="preserve"> Port of Spain.</w:t>
            </w:r>
            <w:r w:rsidRPr="00E41F02">
              <w:t xml:space="preserve"> h</w:t>
            </w:r>
            <w:r w:rsidRPr="00E41F02">
              <w:rPr>
                <w:noProof/>
                <w:lang w:val="en-TT"/>
              </w:rPr>
              <w:t>ttp://www.ttparliament.org/documents/2207.pdf</w:t>
            </w:r>
          </w:p>
          <w:p w:rsidR="007C688C" w:rsidRPr="00E41F02" w:rsidRDefault="007C688C" w:rsidP="007C688C">
            <w:pPr>
              <w:pStyle w:val="Bibliography"/>
              <w:ind w:left="720" w:hanging="720"/>
              <w:rPr>
                <w:noProof/>
                <w:lang w:val="en-TT"/>
              </w:rPr>
            </w:pPr>
            <w:r w:rsidRPr="00E41F02">
              <w:rPr>
                <w:noProof/>
                <w:lang w:val="en-TT"/>
              </w:rPr>
              <w:t xml:space="preserve">United Nations Development Programme Regional Centre for Latin American and the Caribbean. 2014. </w:t>
            </w:r>
            <w:r w:rsidRPr="00E41F02">
              <w:rPr>
                <w:i/>
                <w:iCs/>
                <w:noProof/>
                <w:lang w:val="en-TT"/>
              </w:rPr>
              <w:t>Sharing What Works South-South Cooperation for Disaste</w:t>
            </w:r>
            <w:r w:rsidR="002D04BC">
              <w:rPr>
                <w:i/>
                <w:iCs/>
                <w:noProof/>
                <w:lang w:val="en-TT"/>
              </w:rPr>
              <w:t>r Ri</w:t>
            </w:r>
            <w:r w:rsidRPr="00E41F02">
              <w:rPr>
                <w:i/>
                <w:iCs/>
                <w:noProof/>
                <w:lang w:val="en-TT"/>
              </w:rPr>
              <w:t>sk Reduction in the Caribbean.</w:t>
            </w:r>
            <w:r w:rsidRPr="00E41F02">
              <w:rPr>
                <w:noProof/>
                <w:lang w:val="en-TT"/>
              </w:rPr>
              <w:t xml:space="preserve"> Panama.</w:t>
            </w:r>
          </w:p>
          <w:p w:rsidR="00C03800" w:rsidRPr="00E41F02" w:rsidRDefault="00F73548" w:rsidP="007C688C">
            <w:r w:rsidRPr="00E41F02">
              <w:fldChar w:fldCharType="end"/>
            </w:r>
          </w:p>
        </w:tc>
      </w:tr>
    </w:tbl>
    <w:p w:rsidR="002D04BC" w:rsidRDefault="002D04BC"/>
    <w:p w:rsidR="002D04BC" w:rsidRPr="002D04BC" w:rsidRDefault="002D04BC" w:rsidP="002D04BC"/>
    <w:p w:rsidR="002D04BC" w:rsidRPr="002D04BC" w:rsidRDefault="002D04BC" w:rsidP="002D04BC"/>
    <w:p w:rsidR="002D04BC" w:rsidRPr="002D04BC" w:rsidRDefault="002D04BC" w:rsidP="002D04BC"/>
    <w:p w:rsidR="002D04BC" w:rsidRPr="002D04BC" w:rsidRDefault="002D04BC" w:rsidP="002D04BC"/>
    <w:p w:rsidR="002D04BC" w:rsidRDefault="002D04BC" w:rsidP="002D04BC"/>
    <w:p w:rsidR="002B3876" w:rsidRPr="002D04BC" w:rsidRDefault="002D04BC" w:rsidP="002D04BC">
      <w:pPr>
        <w:tabs>
          <w:tab w:val="left" w:pos="6990"/>
        </w:tabs>
      </w:pPr>
      <w:r>
        <w:tab/>
      </w:r>
    </w:p>
    <w:sectPr w:rsidR="002B3876" w:rsidRPr="002D04BC" w:rsidSect="00F735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C4C" w:rsidRDefault="00BE3C4C" w:rsidP="002B3876">
      <w:r>
        <w:separator/>
      </w:r>
    </w:p>
  </w:endnote>
  <w:endnote w:type="continuationSeparator" w:id="0">
    <w:p w:rsidR="00BE3C4C" w:rsidRDefault="00BE3C4C" w:rsidP="002B3876">
      <w:r>
        <w:continuationSeparator/>
      </w:r>
    </w:p>
  </w:endnote>
  <w:endnote w:type="continuationNotice" w:id="1">
    <w:p w:rsidR="00BE3C4C" w:rsidRDefault="00BE3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433501"/>
      <w:docPartObj>
        <w:docPartGallery w:val="Page Numbers (Bottom of Page)"/>
        <w:docPartUnique/>
      </w:docPartObj>
    </w:sdtPr>
    <w:sdtEndPr>
      <w:rPr>
        <w:noProof/>
      </w:rPr>
    </w:sdtEndPr>
    <w:sdtContent>
      <w:p w:rsidR="002A1938" w:rsidRDefault="00F73548">
        <w:pPr>
          <w:pStyle w:val="Footer"/>
          <w:jc w:val="right"/>
        </w:pPr>
        <w:r>
          <w:fldChar w:fldCharType="begin"/>
        </w:r>
        <w:r w:rsidR="002A1938">
          <w:instrText xml:space="preserve"> PAGE   \* MERGEFORMAT </w:instrText>
        </w:r>
        <w:r>
          <w:fldChar w:fldCharType="separate"/>
        </w:r>
        <w:r w:rsidR="00803F5F">
          <w:rPr>
            <w:noProof/>
          </w:rPr>
          <w:t>2</w:t>
        </w:r>
        <w:r>
          <w:rPr>
            <w:noProof/>
          </w:rPr>
          <w:fldChar w:fldCharType="end"/>
        </w:r>
      </w:p>
    </w:sdtContent>
  </w:sdt>
  <w:p w:rsidR="002A1938" w:rsidRDefault="002A1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C4C" w:rsidRDefault="00BE3C4C" w:rsidP="002B3876">
      <w:r>
        <w:separator/>
      </w:r>
    </w:p>
  </w:footnote>
  <w:footnote w:type="continuationSeparator" w:id="0">
    <w:p w:rsidR="00BE3C4C" w:rsidRDefault="00BE3C4C" w:rsidP="002B3876">
      <w:r>
        <w:continuationSeparator/>
      </w:r>
    </w:p>
  </w:footnote>
  <w:footnote w:type="continuationNotice" w:id="1">
    <w:p w:rsidR="00BE3C4C" w:rsidRDefault="00BE3C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38" w:rsidRPr="00CB50E6" w:rsidRDefault="002A1938">
    <w:pPr>
      <w:pStyle w:val="Header"/>
      <w:rPr>
        <w:sz w:val="36"/>
      </w:rPr>
    </w:pPr>
    <w:r w:rsidRPr="00CB50E6">
      <w:rPr>
        <w:noProof/>
        <w:sz w:val="36"/>
        <w:lang w:val="en-TT" w:eastAsia="en-TT"/>
      </w:rPr>
      <w:drawing>
        <wp:anchor distT="0" distB="0" distL="114300" distR="114300" simplePos="0" relativeHeight="251658240" behindDoc="0" locked="0" layoutInCell="1" allowOverlap="1" wp14:anchorId="547F5430" wp14:editId="547F5431">
          <wp:simplePos x="0" y="0"/>
          <wp:positionH relativeFrom="rightMargin">
            <wp:align>left</wp:align>
          </wp:positionH>
          <wp:positionV relativeFrom="margin">
            <wp:posOffset>-599440</wp:posOffset>
          </wp:positionV>
          <wp:extent cx="473710" cy="969645"/>
          <wp:effectExtent l="0" t="0" r="2540" b="0"/>
          <wp:wrapSquare wrapText="bothSides"/>
          <wp:docPr id="1" name="Picture 1" descr="\\Inet06tri\Users My Documents\Rajiv\Desktop\UND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t06tri\Users My Documents\Rajiv\Desktop\UND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710" cy="969645"/>
                  </a:xfrm>
                  <a:prstGeom prst="rect">
                    <a:avLst/>
                  </a:prstGeom>
                  <a:noFill/>
                  <a:ln>
                    <a:noFill/>
                  </a:ln>
                </pic:spPr>
              </pic:pic>
            </a:graphicData>
          </a:graphic>
        </wp:anchor>
      </w:drawing>
    </w:r>
    <w:r w:rsidRPr="00CB50E6">
      <w:rPr>
        <w:sz w:val="36"/>
      </w:rPr>
      <w:t>United Nations Development Programme</w:t>
    </w:r>
  </w:p>
  <w:p w:rsidR="002A1938" w:rsidRPr="00CB50E6" w:rsidRDefault="002A1938">
    <w:pPr>
      <w:pStyle w:val="Header"/>
      <w:rPr>
        <w:sz w:val="28"/>
      </w:rPr>
    </w:pPr>
    <w:r w:rsidRPr="00CB50E6">
      <w:rPr>
        <w:sz w:val="28"/>
      </w:rPr>
      <w:t>Concept Note- Local Government Reform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0093"/>
    <w:multiLevelType w:val="hybridMultilevel"/>
    <w:tmpl w:val="D780C8E2"/>
    <w:lvl w:ilvl="0" w:tplc="A922F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E3CDF"/>
    <w:multiLevelType w:val="hybridMultilevel"/>
    <w:tmpl w:val="E56AB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C09B0"/>
    <w:multiLevelType w:val="hybridMultilevel"/>
    <w:tmpl w:val="980A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56A2A"/>
    <w:multiLevelType w:val="hybridMultilevel"/>
    <w:tmpl w:val="43300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4B2D37"/>
    <w:multiLevelType w:val="hybridMultilevel"/>
    <w:tmpl w:val="12CEB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A5875"/>
    <w:multiLevelType w:val="hybridMultilevel"/>
    <w:tmpl w:val="E25A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15781"/>
    <w:multiLevelType w:val="hybridMultilevel"/>
    <w:tmpl w:val="0CD83352"/>
    <w:lvl w:ilvl="0" w:tplc="2370CE14">
      <w:start w:val="1"/>
      <w:numFmt w:val="lowerRoman"/>
      <w:lvlText w:val="%1."/>
      <w:lvlJc w:val="righ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B0A0A"/>
    <w:multiLevelType w:val="hybridMultilevel"/>
    <w:tmpl w:val="9DD4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433E5"/>
    <w:multiLevelType w:val="hybridMultilevel"/>
    <w:tmpl w:val="12CEB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2712C"/>
    <w:multiLevelType w:val="hybridMultilevel"/>
    <w:tmpl w:val="943C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8"/>
  </w:num>
  <w:num w:numId="6">
    <w:abstractNumId w:val="9"/>
  </w:num>
  <w:num w:numId="7">
    <w:abstractNumId w:val="5"/>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76"/>
    <w:rsid w:val="00011ECF"/>
    <w:rsid w:val="000127CA"/>
    <w:rsid w:val="00030646"/>
    <w:rsid w:val="000702F0"/>
    <w:rsid w:val="000758AC"/>
    <w:rsid w:val="00081176"/>
    <w:rsid w:val="001121EC"/>
    <w:rsid w:val="00134044"/>
    <w:rsid w:val="00150C9F"/>
    <w:rsid w:val="00152C49"/>
    <w:rsid w:val="0019230D"/>
    <w:rsid w:val="00192AE4"/>
    <w:rsid w:val="0019676F"/>
    <w:rsid w:val="001B18F4"/>
    <w:rsid w:val="001D2DD1"/>
    <w:rsid w:val="001D5837"/>
    <w:rsid w:val="001E6D84"/>
    <w:rsid w:val="001F0681"/>
    <w:rsid w:val="00212508"/>
    <w:rsid w:val="002A1938"/>
    <w:rsid w:val="002A58E2"/>
    <w:rsid w:val="002B3876"/>
    <w:rsid w:val="002B63D6"/>
    <w:rsid w:val="002B7674"/>
    <w:rsid w:val="002D04BC"/>
    <w:rsid w:val="003501B2"/>
    <w:rsid w:val="00375D2C"/>
    <w:rsid w:val="003807CE"/>
    <w:rsid w:val="003F0A42"/>
    <w:rsid w:val="00406772"/>
    <w:rsid w:val="00413B5A"/>
    <w:rsid w:val="00414568"/>
    <w:rsid w:val="00415D5F"/>
    <w:rsid w:val="00432056"/>
    <w:rsid w:val="0044198D"/>
    <w:rsid w:val="004541C8"/>
    <w:rsid w:val="00477218"/>
    <w:rsid w:val="004961C1"/>
    <w:rsid w:val="004B5896"/>
    <w:rsid w:val="004B5A2E"/>
    <w:rsid w:val="004C3763"/>
    <w:rsid w:val="004C5485"/>
    <w:rsid w:val="004D7A90"/>
    <w:rsid w:val="00510B82"/>
    <w:rsid w:val="00524254"/>
    <w:rsid w:val="005347AE"/>
    <w:rsid w:val="005512CB"/>
    <w:rsid w:val="0056173A"/>
    <w:rsid w:val="0056175A"/>
    <w:rsid w:val="00561811"/>
    <w:rsid w:val="00563FA5"/>
    <w:rsid w:val="00587C43"/>
    <w:rsid w:val="00597F02"/>
    <w:rsid w:val="005A1B5E"/>
    <w:rsid w:val="005D17A4"/>
    <w:rsid w:val="005D650B"/>
    <w:rsid w:val="005E04FF"/>
    <w:rsid w:val="005E13F8"/>
    <w:rsid w:val="005E5092"/>
    <w:rsid w:val="005F5164"/>
    <w:rsid w:val="0062465F"/>
    <w:rsid w:val="006271A2"/>
    <w:rsid w:val="00641967"/>
    <w:rsid w:val="006E1005"/>
    <w:rsid w:val="006E6381"/>
    <w:rsid w:val="00733B95"/>
    <w:rsid w:val="00737CF5"/>
    <w:rsid w:val="007665C9"/>
    <w:rsid w:val="00770F23"/>
    <w:rsid w:val="00792F47"/>
    <w:rsid w:val="007B25B0"/>
    <w:rsid w:val="007C688C"/>
    <w:rsid w:val="00801AE0"/>
    <w:rsid w:val="00803F5F"/>
    <w:rsid w:val="0081675A"/>
    <w:rsid w:val="00820641"/>
    <w:rsid w:val="00820928"/>
    <w:rsid w:val="008408ED"/>
    <w:rsid w:val="0084475A"/>
    <w:rsid w:val="00853D7A"/>
    <w:rsid w:val="00895378"/>
    <w:rsid w:val="008B4905"/>
    <w:rsid w:val="008C6F82"/>
    <w:rsid w:val="008F4E33"/>
    <w:rsid w:val="00910A94"/>
    <w:rsid w:val="0092687A"/>
    <w:rsid w:val="009301BE"/>
    <w:rsid w:val="0094170B"/>
    <w:rsid w:val="00945838"/>
    <w:rsid w:val="00945A5B"/>
    <w:rsid w:val="0095599C"/>
    <w:rsid w:val="009758F0"/>
    <w:rsid w:val="00980D08"/>
    <w:rsid w:val="009A66D8"/>
    <w:rsid w:val="009B32F5"/>
    <w:rsid w:val="00A36D19"/>
    <w:rsid w:val="00A53954"/>
    <w:rsid w:val="00A70CB7"/>
    <w:rsid w:val="00A75EC9"/>
    <w:rsid w:val="00A85CCB"/>
    <w:rsid w:val="00A93F0A"/>
    <w:rsid w:val="00AC43AA"/>
    <w:rsid w:val="00AD72AE"/>
    <w:rsid w:val="00B14555"/>
    <w:rsid w:val="00B45119"/>
    <w:rsid w:val="00B45544"/>
    <w:rsid w:val="00B64C10"/>
    <w:rsid w:val="00B768CE"/>
    <w:rsid w:val="00BB6928"/>
    <w:rsid w:val="00BC5AF0"/>
    <w:rsid w:val="00BE3C4C"/>
    <w:rsid w:val="00BE4C74"/>
    <w:rsid w:val="00BF39ED"/>
    <w:rsid w:val="00BF443C"/>
    <w:rsid w:val="00C03800"/>
    <w:rsid w:val="00C11715"/>
    <w:rsid w:val="00C35354"/>
    <w:rsid w:val="00C36852"/>
    <w:rsid w:val="00C72B99"/>
    <w:rsid w:val="00CB50E6"/>
    <w:rsid w:val="00CD43FC"/>
    <w:rsid w:val="00CD508B"/>
    <w:rsid w:val="00D23BAE"/>
    <w:rsid w:val="00D66E9A"/>
    <w:rsid w:val="00D814D0"/>
    <w:rsid w:val="00DC7E2C"/>
    <w:rsid w:val="00DD772B"/>
    <w:rsid w:val="00E0056C"/>
    <w:rsid w:val="00E11D29"/>
    <w:rsid w:val="00E41F02"/>
    <w:rsid w:val="00E6606B"/>
    <w:rsid w:val="00E71F19"/>
    <w:rsid w:val="00EA4384"/>
    <w:rsid w:val="00EA4E9D"/>
    <w:rsid w:val="00EC638A"/>
    <w:rsid w:val="00EE68AB"/>
    <w:rsid w:val="00F23118"/>
    <w:rsid w:val="00F5086E"/>
    <w:rsid w:val="00F57782"/>
    <w:rsid w:val="00F675ED"/>
    <w:rsid w:val="00F73548"/>
    <w:rsid w:val="00FC4A1A"/>
    <w:rsid w:val="00FC4C3C"/>
    <w:rsid w:val="00FE2B8F"/>
    <w:rsid w:val="00FE4A76"/>
    <w:rsid w:val="00FF0C3B"/>
    <w:rsid w:val="00FF568B"/>
  </w:rsids>
  <m:mathPr>
    <m:mathFont m:val="Cambria Math"/>
    <m:brkBin m:val="before"/>
    <m:brkBinSub m:val="--"/>
    <m:smallFrac/>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0CBBAC-0580-4FAA-91AB-89128C7F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7A"/>
    <w:pPr>
      <w:spacing w:after="0" w:line="240" w:lineRule="auto"/>
    </w:pPr>
    <w:rPr>
      <w:rFonts w:ascii="Arial Narrow" w:eastAsia="Calibri" w:hAnsi="Arial Narrow"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876"/>
    <w:pPr>
      <w:spacing w:after="200" w:line="276" w:lineRule="auto"/>
      <w:ind w:left="720"/>
      <w:contextualSpacing/>
    </w:pPr>
    <w:rPr>
      <w:rFonts w:ascii="Calibri" w:hAnsi="Calibri"/>
      <w:sz w:val="22"/>
      <w:szCs w:val="22"/>
      <w:lang w:val="en-US"/>
    </w:rPr>
  </w:style>
  <w:style w:type="paragraph" w:styleId="Header">
    <w:name w:val="header"/>
    <w:basedOn w:val="Normal"/>
    <w:link w:val="HeaderChar"/>
    <w:uiPriority w:val="99"/>
    <w:unhideWhenUsed/>
    <w:rsid w:val="002B3876"/>
    <w:pPr>
      <w:tabs>
        <w:tab w:val="center" w:pos="4680"/>
        <w:tab w:val="right" w:pos="9360"/>
      </w:tabs>
    </w:pPr>
  </w:style>
  <w:style w:type="character" w:customStyle="1" w:styleId="HeaderChar">
    <w:name w:val="Header Char"/>
    <w:basedOn w:val="DefaultParagraphFont"/>
    <w:link w:val="Header"/>
    <w:uiPriority w:val="99"/>
    <w:rsid w:val="002B3876"/>
    <w:rPr>
      <w:rFonts w:ascii="Arial Narrow" w:eastAsia="Calibri" w:hAnsi="Arial Narrow" w:cs="Times New Roman"/>
      <w:sz w:val="24"/>
      <w:szCs w:val="24"/>
      <w:lang w:val="en-GB"/>
    </w:rPr>
  </w:style>
  <w:style w:type="paragraph" w:styleId="Footer">
    <w:name w:val="footer"/>
    <w:basedOn w:val="Normal"/>
    <w:link w:val="FooterChar"/>
    <w:uiPriority w:val="99"/>
    <w:unhideWhenUsed/>
    <w:rsid w:val="002B3876"/>
    <w:pPr>
      <w:tabs>
        <w:tab w:val="center" w:pos="4680"/>
        <w:tab w:val="right" w:pos="9360"/>
      </w:tabs>
    </w:pPr>
  </w:style>
  <w:style w:type="character" w:customStyle="1" w:styleId="FooterChar">
    <w:name w:val="Footer Char"/>
    <w:basedOn w:val="DefaultParagraphFont"/>
    <w:link w:val="Footer"/>
    <w:uiPriority w:val="99"/>
    <w:rsid w:val="002B3876"/>
    <w:rPr>
      <w:rFonts w:ascii="Arial Narrow" w:eastAsia="Calibri" w:hAnsi="Arial Narrow" w:cs="Times New Roman"/>
      <w:sz w:val="24"/>
      <w:szCs w:val="24"/>
      <w:lang w:val="en-GB"/>
    </w:rPr>
  </w:style>
  <w:style w:type="paragraph" w:styleId="Bibliography">
    <w:name w:val="Bibliography"/>
    <w:basedOn w:val="Normal"/>
    <w:next w:val="Normal"/>
    <w:uiPriority w:val="37"/>
    <w:unhideWhenUsed/>
    <w:rsid w:val="007C688C"/>
  </w:style>
  <w:style w:type="character" w:styleId="Hyperlink">
    <w:name w:val="Hyperlink"/>
    <w:basedOn w:val="DefaultParagraphFont"/>
    <w:uiPriority w:val="99"/>
    <w:unhideWhenUsed/>
    <w:rsid w:val="001D5837"/>
    <w:rPr>
      <w:color w:val="0563C1" w:themeColor="hyperlink"/>
      <w:u w:val="single"/>
    </w:rPr>
  </w:style>
  <w:style w:type="paragraph" w:styleId="BalloonText">
    <w:name w:val="Balloon Text"/>
    <w:basedOn w:val="Normal"/>
    <w:link w:val="BalloonTextChar"/>
    <w:uiPriority w:val="99"/>
    <w:semiHidden/>
    <w:unhideWhenUsed/>
    <w:rsid w:val="008C6F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82"/>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58322">
      <w:bodyDiv w:val="1"/>
      <w:marLeft w:val="0"/>
      <w:marRight w:val="0"/>
      <w:marTop w:val="0"/>
      <w:marBottom w:val="0"/>
      <w:divBdr>
        <w:top w:val="none" w:sz="0" w:space="0" w:color="auto"/>
        <w:left w:val="none" w:sz="0" w:space="0" w:color="auto"/>
        <w:bottom w:val="none" w:sz="0" w:space="0" w:color="auto"/>
        <w:right w:val="none" w:sz="0" w:space="0" w:color="auto"/>
      </w:divBdr>
    </w:div>
    <w:div w:id="1152526716">
      <w:bodyDiv w:val="1"/>
      <w:marLeft w:val="0"/>
      <w:marRight w:val="0"/>
      <w:marTop w:val="0"/>
      <w:marBottom w:val="0"/>
      <w:divBdr>
        <w:top w:val="none" w:sz="0" w:space="0" w:color="auto"/>
        <w:left w:val="none" w:sz="0" w:space="0" w:color="auto"/>
        <w:bottom w:val="none" w:sz="0" w:space="0" w:color="auto"/>
        <w:right w:val="none" w:sz="0" w:space="0" w:color="auto"/>
      </w:divBdr>
    </w:div>
    <w:div w:id="1182667135">
      <w:bodyDiv w:val="1"/>
      <w:marLeft w:val="0"/>
      <w:marRight w:val="0"/>
      <w:marTop w:val="0"/>
      <w:marBottom w:val="0"/>
      <w:divBdr>
        <w:top w:val="none" w:sz="0" w:space="0" w:color="auto"/>
        <w:left w:val="none" w:sz="0" w:space="0" w:color="auto"/>
        <w:bottom w:val="none" w:sz="0" w:space="0" w:color="auto"/>
        <w:right w:val="none" w:sz="0" w:space="0" w:color="auto"/>
      </w:divBdr>
    </w:div>
    <w:div w:id="1237857671">
      <w:bodyDiv w:val="1"/>
      <w:marLeft w:val="0"/>
      <w:marRight w:val="0"/>
      <w:marTop w:val="0"/>
      <w:marBottom w:val="0"/>
      <w:divBdr>
        <w:top w:val="none" w:sz="0" w:space="0" w:color="auto"/>
        <w:left w:val="none" w:sz="0" w:space="0" w:color="auto"/>
        <w:bottom w:val="none" w:sz="0" w:space="0" w:color="auto"/>
        <w:right w:val="none" w:sz="0" w:space="0" w:color="auto"/>
      </w:divBdr>
      <w:divsChild>
        <w:div w:id="1119304123">
          <w:marLeft w:val="300"/>
          <w:marRight w:val="300"/>
          <w:marTop w:val="0"/>
          <w:marBottom w:val="0"/>
          <w:divBdr>
            <w:top w:val="none" w:sz="0" w:space="0" w:color="auto"/>
            <w:left w:val="none" w:sz="0" w:space="0" w:color="auto"/>
            <w:bottom w:val="none" w:sz="0" w:space="0" w:color="auto"/>
            <w:right w:val="none" w:sz="0" w:space="0" w:color="auto"/>
          </w:divBdr>
          <w:divsChild>
            <w:div w:id="407309221">
              <w:marLeft w:val="0"/>
              <w:marRight w:val="0"/>
              <w:marTop w:val="0"/>
              <w:marBottom w:val="0"/>
              <w:divBdr>
                <w:top w:val="none" w:sz="0" w:space="0" w:color="auto"/>
                <w:left w:val="none" w:sz="0" w:space="0" w:color="auto"/>
                <w:bottom w:val="none" w:sz="0" w:space="0" w:color="auto"/>
                <w:right w:val="none" w:sz="0" w:space="0" w:color="auto"/>
              </w:divBdr>
            </w:div>
          </w:divsChild>
        </w:div>
        <w:div w:id="615986221">
          <w:marLeft w:val="300"/>
          <w:marRight w:val="300"/>
          <w:marTop w:val="0"/>
          <w:marBottom w:val="0"/>
          <w:divBdr>
            <w:top w:val="none" w:sz="0" w:space="0" w:color="auto"/>
            <w:left w:val="none" w:sz="0" w:space="0" w:color="auto"/>
            <w:bottom w:val="none" w:sz="0" w:space="0" w:color="auto"/>
            <w:right w:val="none" w:sz="0" w:space="0" w:color="auto"/>
          </w:divBdr>
          <w:divsChild>
            <w:div w:id="13053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5868">
      <w:bodyDiv w:val="1"/>
      <w:marLeft w:val="0"/>
      <w:marRight w:val="0"/>
      <w:marTop w:val="0"/>
      <w:marBottom w:val="0"/>
      <w:divBdr>
        <w:top w:val="none" w:sz="0" w:space="0" w:color="auto"/>
        <w:left w:val="none" w:sz="0" w:space="0" w:color="auto"/>
        <w:bottom w:val="none" w:sz="0" w:space="0" w:color="auto"/>
        <w:right w:val="none" w:sz="0" w:space="0" w:color="auto"/>
      </w:divBdr>
    </w:div>
    <w:div w:id="1525824396">
      <w:bodyDiv w:val="1"/>
      <w:marLeft w:val="0"/>
      <w:marRight w:val="0"/>
      <w:marTop w:val="0"/>
      <w:marBottom w:val="0"/>
      <w:divBdr>
        <w:top w:val="none" w:sz="0" w:space="0" w:color="auto"/>
        <w:left w:val="none" w:sz="0" w:space="0" w:color="auto"/>
        <w:bottom w:val="none" w:sz="0" w:space="0" w:color="auto"/>
        <w:right w:val="none" w:sz="0" w:space="0" w:color="auto"/>
      </w:divBdr>
    </w:div>
    <w:div w:id="1850100162">
      <w:bodyDiv w:val="1"/>
      <w:marLeft w:val="0"/>
      <w:marRight w:val="0"/>
      <w:marTop w:val="0"/>
      <w:marBottom w:val="0"/>
      <w:divBdr>
        <w:top w:val="none" w:sz="0" w:space="0" w:color="auto"/>
        <w:left w:val="none" w:sz="0" w:space="0" w:color="auto"/>
        <w:bottom w:val="none" w:sz="0" w:space="0" w:color="auto"/>
        <w:right w:val="none" w:sz="0" w:space="0" w:color="auto"/>
      </w:divBdr>
    </w:div>
    <w:div w:id="18502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b:Source>
    <b:Tag>Ema15</b:Tag>
    <b:SourceType>Interview</b:SourceType>
    <b:Guid>{5B1AF39D-7318-493E-9C2B-9A3332DE5140}</b:Guid>
    <b:Title>A ‘green gateway’ between Latin America and Europe</b:Title>
    <b:Year>2015</b:Year>
    <b:Month>January</b:Month>
    <b:Day>23</b:Day>
    <b:Author>
      <b:Interviewee>
        <b:NameList>
          <b:Person>
            <b:Last>Eman</b:Last>
            <b:First>Michiel</b:First>
            <b:Middle>"Mike"</b:Middle>
          </b:Person>
        </b:NameList>
      </b:Interviewee>
      <b:Interviewer>
        <b:NameList>
          <b:Person>
            <b:Last>It</b:Last>
            <b:First>Making</b:First>
          </b:Person>
        </b:NameList>
      </b:Interviewer>
    </b:Author>
    <b:RefOrder>1</b:RefOrder>
  </b:Source>
  <b:Source>
    <b:Tag>Dep13</b:Tag>
    <b:SourceType>DocumentFromInternetSite</b:SourceType>
    <b:Guid>{6F5AE421-3EE6-4CE6-9453-3006E029A101}</b:Guid>
    <b:Title>DOE</b:Title>
    <b:Year>2013</b:Year>
    <b:Author>
      <b:Author>
        <b:Corporate>Department of the Environment</b:Corporate>
      </b:Author>
    </b:Author>
    <b:Month>February</b:Month>
    <b:YearAccessed>2015</b:YearAccessed>
    <b:MonthAccessed>October</b:MonthAccessed>
    <b:URL>http://www.doeni.gov.uk/benefits_of_local_government_reform.pdf</b:URL>
    <b:RefOrder>2</b:RefOrder>
  </b:Source>
  <b:Source>
    <b:Tag>Dep15</b:Tag>
    <b:SourceType>DocumentFromInternetSite</b:SourceType>
    <b:Guid>{1F02EC9E-67C0-43EE-AF0E-E659B445FE34}</b:Guid>
    <b:Author>
      <b:Author>
        <b:Corporate>Department of the Environment</b:Corporate>
      </b:Author>
    </b:Author>
    <b:Title>DOE</b:Title>
    <b:Year>2015</b:Year>
    <b:YearAccessed>2015</b:YearAccessed>
    <b:MonthAccessed>October</b:MonthAccessed>
    <b:URL>http://www.doeni.gov.uk/local_government_reform</b:URL>
    <b:RefOrder>3</b:RefOrder>
  </b:Source>
  <b:Source>
    <b:Tag>Uni14</b:Tag>
    <b:SourceType>Book</b:SourceType>
    <b:Guid>{F3382AA8-4D59-4F4C-B246-26177D4597B5}</b:Guid>
    <b:Title>Sharing What Works South-South Cooperation for DIsaster RIsk Reduction in the Caribbean</b:Title>
    <b:Year>2014</b:Year>
    <b:Author>
      <b:Author>
        <b:Corporate>United Nations Development Programme Regional Centre for Latin American and the Caribbean</b:Corporate>
      </b:Author>
    </b:Author>
    <b:City>Panama</b:City>
    <b:RefOrder>4</b:RefOrder>
  </b:Source>
  <b:Source>
    <b:Tag>Min13</b:Tag>
    <b:SourceType>ElectronicSource</b:SourceType>
    <b:Guid>{C483E774-FF3E-4356-B202-0BA37825C873}</b:Guid>
    <b:Title>Draft White Paper on Local Government Transformation and Modernization 2013</b:Title>
    <b:Year>2013</b:Year>
    <b:City>Port of Spain</b:City>
    <b:Author>
      <b:Author>
        <b:Corporate>Ministry of Local Government</b:Corporate>
      </b:Author>
    </b:Author>
    <b:RefOrder>5</b:RefOrder>
  </b:Source>
  <b:Source>
    <b:Tag>NOR11</b:Tag>
    <b:SourceType>ElectronicSource</b:SourceType>
    <b:Guid>{D4D12423-720A-41BD-8CE0-2CB774180740}</b:Guid>
    <b:Author>
      <b:Author>
        <b:Corporate>NORDREGIO</b:Corporate>
      </b:Author>
    </b:Author>
    <b:Title>Perspectives on rural development in the Nordic countries</b:Title>
    <b:City>Stockholm</b:City>
    <b:Year>2011</b:Year>
    <b:URL>http://norden.diva-portal.org/smash/get/diva2:700365/FULLTEXT01.pdf</b:URL>
    <b:RefOrder>6</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2016-07-19T20:00:00+00:00</UNDPPublishedDate>
    <UNDPCountryTaxHTField0 xmlns="1ed4137b-41b2-488b-8250-6d369ec27664">
      <Terms xmlns="http://schemas.microsoft.com/office/infopath/2007/PartnerControls"/>
    </UNDPCountryTaxHTField0>
    <UndpOUCode xmlns="1ed4137b-41b2-488b-8250-6d369ec27664">TTO</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1107</Value>
      <Value>1121</Value>
      <Value>1</Value>
      <Value>301</Value>
    </TaxCatchAll>
    <c4e2ab2cc9354bbf9064eeb465a566ea xmlns="1ed4137b-41b2-488b-8250-6d369ec27664">
      <Terms xmlns="http://schemas.microsoft.com/office/infopath/2007/PartnerControls"/>
    </c4e2ab2cc9354bbf9064eeb465a566ea>
    <UndpProjectNo xmlns="1ed4137b-41b2-488b-8250-6d369ec27664">00097715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TTO</TermName>
          <TermId xmlns="http://schemas.microsoft.com/office/infopath/2007/PartnerControls">e7e468f4-56a8-499e-a946-c5389a5894a8</TermId>
        </TermInfo>
      </Terms>
    </gc6531b704974d528487414686b72f6f>
    <_dlc_DocId xmlns="f1161f5b-24a3-4c2d-bc81-44cb9325e8ee">ATLASPDC-4-50970</_dlc_DocId>
    <_dlc_DocIdUrl xmlns="f1161f5b-24a3-4c2d-bc81-44cb9325e8ee">
      <Url>https://info.undp.org/docs/pdc/_layouts/DocIdRedir.aspx?ID=ATLASPDC-4-50970</Url>
      <Description>ATLASPDC-4-50970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508D521-E3C9-491F-83D3-5BFD9E1F4B9C}"/>
</file>

<file path=customXml/itemProps2.xml><?xml version="1.0" encoding="utf-8"?>
<ds:datastoreItem xmlns:ds="http://schemas.openxmlformats.org/officeDocument/2006/customXml" ds:itemID="{7C3C0475-97C7-4105-9297-D018BB568772}"/>
</file>

<file path=customXml/itemProps3.xml><?xml version="1.0" encoding="utf-8"?>
<ds:datastoreItem xmlns:ds="http://schemas.openxmlformats.org/officeDocument/2006/customXml" ds:itemID="{38D59A8B-7636-433A-A1E5-0EDB89185B50}"/>
</file>

<file path=customXml/itemProps4.xml><?xml version="1.0" encoding="utf-8"?>
<ds:datastoreItem xmlns:ds="http://schemas.openxmlformats.org/officeDocument/2006/customXml" ds:itemID="{10CABE99-DF07-48FF-938B-2377E955F405}"/>
</file>

<file path=customXml/itemProps5.xml><?xml version="1.0" encoding="utf-8"?>
<ds:datastoreItem xmlns:ds="http://schemas.openxmlformats.org/officeDocument/2006/customXml" ds:itemID="{C2B0E47B-5E59-4711-928F-C483600A30ED}"/>
</file>

<file path=customXml/itemProps6.xml><?xml version="1.0" encoding="utf-8"?>
<ds:datastoreItem xmlns:ds="http://schemas.openxmlformats.org/officeDocument/2006/customXml" ds:itemID="{8F7FD4E0-18D3-4F89-9E62-735717245E29}"/>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 Jalim</dc:creator>
  <cp:keywords/>
  <dc:description/>
  <cp:lastModifiedBy>Lyndon Wright</cp:lastModifiedBy>
  <cp:revision>2</cp:revision>
  <dcterms:created xsi:type="dcterms:W3CDTF">2016-07-19T20:43:00Z</dcterms:created>
  <dcterms:modified xsi:type="dcterms:W3CDTF">2016-07-19T20:43:00Z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1121;#TTO|e7e468f4-56a8-499e-a946-c5389a5894a8</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301;#Capacity Development|0f6cebf4-50de-4968-b289-b483404a5dd0</vt:lpwstr>
  </property>
  <property fmtid="{D5CDD505-2E9C-101B-9397-08002B2CF9AE}" pid="16" name="Atlas Document Type">
    <vt:lpwstr>1107;#Other|10be685e-4bef-4aec-b905-4df3748c0781</vt:lpwstr>
  </property>
  <property fmtid="{D5CDD505-2E9C-101B-9397-08002B2CF9AE}" pid="17" name="_dlc_DocIdItemGuid">
    <vt:lpwstr>1ca4bd9d-4ce1-4599-a0e4-9d910b3bd13c</vt:lpwstr>
  </property>
  <property fmtid="{D5CDD505-2E9C-101B-9397-08002B2CF9AE}" pid="18" name="URL">
    <vt:lpwstr/>
  </property>
  <property fmtid="{D5CDD505-2E9C-101B-9397-08002B2CF9AE}" pid="19" name="DocumentSetDescription">
    <vt:lpwstr/>
  </property>
</Properties>
</file>